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190" w:rsidRDefault="0013206E" w:rsidP="00122190">
      <w:pPr>
        <w:pStyle w:val="Titre3"/>
        <w:jc w:val="center"/>
      </w:pPr>
      <w:r>
        <w:t>Thème 3B Communication nerveuse</w:t>
      </w:r>
    </w:p>
    <w:p w:rsidR="00122190" w:rsidRDefault="00122190" w:rsidP="00122190"/>
    <w:p w:rsidR="002E3353" w:rsidRDefault="002E3353" w:rsidP="002E3353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b/>
          <w:bCs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1</w:t>
      </w:r>
      <w:r w:rsidR="0013206E">
        <w:rPr>
          <w:rFonts w:ascii="Comic Sans MS" w:hAnsi="Comic Sans MS"/>
          <w:b/>
          <w:bCs/>
          <w:sz w:val="20"/>
          <w:szCs w:val="20"/>
        </w:rPr>
        <w:t>6</w:t>
      </w:r>
      <w:r>
        <w:rPr>
          <w:rFonts w:ascii="Comic Sans MS" w:hAnsi="Comic Sans MS"/>
          <w:b/>
          <w:bCs/>
          <w:sz w:val="20"/>
          <w:szCs w:val="20"/>
        </w:rPr>
        <w:t>- Le message nerveux à l’échelle du neurone</w:t>
      </w:r>
    </w:p>
    <w:p w:rsidR="002E3353" w:rsidRDefault="002E3353" w:rsidP="002E3353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</w:p>
    <w:p w:rsidR="002E3353" w:rsidRPr="00060A00" w:rsidRDefault="002E3353" w:rsidP="002E3353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tbl>
      <w:tblPr>
        <w:tblpPr w:leftFromText="141" w:rightFromText="141" w:vertAnchor="text" w:horzAnchor="margin" w:tblpXSpec="center" w:tblpY="230"/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1559"/>
        <w:gridCol w:w="4820"/>
      </w:tblGrid>
      <w:tr w:rsidR="002E3353" w:rsidTr="00546025">
        <w:trPr>
          <w:trHeight w:val="1126"/>
        </w:trPr>
        <w:tc>
          <w:tcPr>
            <w:tcW w:w="3047" w:type="dxa"/>
          </w:tcPr>
          <w:p w:rsidR="002E3353" w:rsidRDefault="002E3353" w:rsidP="006A2EC6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; potentiel d’action ; potentiel de membrane (=de repos) ; </w:t>
            </w:r>
            <w:r w:rsidR="006A2EC6">
              <w:rPr>
                <w:rFonts w:ascii="Comic Sans MS" w:hAnsi="Comic Sans MS"/>
                <w:sz w:val="20"/>
                <w:szCs w:val="20"/>
              </w:rPr>
              <w:t xml:space="preserve"> Potentiel global ; codage du message</w:t>
            </w:r>
          </w:p>
        </w:tc>
        <w:tc>
          <w:tcPr>
            <w:tcW w:w="1559" w:type="dxa"/>
          </w:tcPr>
          <w:p w:rsidR="002E3353" w:rsidRDefault="001B50AF" w:rsidP="00363D9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Loi du tout ou rien</w:t>
            </w:r>
            <w:r w:rsidR="00546025">
              <w:rPr>
                <w:rFonts w:ascii="Comic Sans MS" w:hAnsi="Comic Sans MS"/>
                <w:sz w:val="20"/>
                <w:szCs w:val="20"/>
              </w:rPr>
              <w:t xml:space="preserve"> ; seuil de stimulation ; </w:t>
            </w:r>
          </w:p>
        </w:tc>
        <w:tc>
          <w:tcPr>
            <w:tcW w:w="4820" w:type="dxa"/>
          </w:tcPr>
          <w:p w:rsidR="002E3353" w:rsidRDefault="002E3353" w:rsidP="0054602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Synapses ; </w:t>
            </w:r>
            <w:r w:rsidR="00546025">
              <w:rPr>
                <w:rFonts w:ascii="Comic Sans MS" w:hAnsi="Comic Sans MS"/>
                <w:sz w:val="20"/>
                <w:szCs w:val="20"/>
              </w:rPr>
              <w:t>fente synaptique ; neurotransmetteur ; récepteurs post-synaptiques ; sommations temporelle et spatiale</w:t>
            </w:r>
          </w:p>
        </w:tc>
      </w:tr>
    </w:tbl>
    <w:p w:rsidR="002E3353" w:rsidRDefault="002E3353"/>
    <w:p w:rsidR="002E3353" w:rsidRDefault="002E3353" w:rsidP="002E3353">
      <w:pPr>
        <w:pStyle w:val="Pieddepage"/>
        <w:tabs>
          <w:tab w:val="clear" w:pos="4536"/>
          <w:tab w:val="clear" w:pos="9072"/>
        </w:tabs>
        <w:spacing w:line="360" w:lineRule="auto"/>
        <w:jc w:val="both"/>
        <w:rPr>
          <w:rFonts w:ascii="Comic Sans MS" w:hAnsi="Comic Sans MS" w:cs="Arial"/>
          <w:b/>
          <w:bCs/>
          <w:sz w:val="20"/>
          <w:szCs w:val="20"/>
        </w:rPr>
      </w:pPr>
      <w:r>
        <w:rPr>
          <w:rFonts w:ascii="Comic Sans MS" w:hAnsi="Comic Sans MS" w:cs="Arial"/>
          <w:b/>
          <w:bCs/>
          <w:sz w:val="20"/>
          <w:szCs w:val="20"/>
        </w:rPr>
        <w:t>Savoir et savoir-faire à connaître ou maîtriser</w:t>
      </w:r>
    </w:p>
    <w:p w:rsidR="00546025" w:rsidRPr="00546025" w:rsidRDefault="00546025" w:rsidP="002E3353">
      <w:pPr>
        <w:pStyle w:val="Pieddepage"/>
        <w:tabs>
          <w:tab w:val="clear" w:pos="4536"/>
          <w:tab w:val="clear" w:pos="9072"/>
        </w:tabs>
        <w:spacing w:line="360" w:lineRule="auto"/>
        <w:jc w:val="both"/>
        <w:rPr>
          <w:rFonts w:ascii="Comic Sans MS" w:hAnsi="Comic Sans MS" w:cs="Arial"/>
          <w:bCs/>
          <w:sz w:val="20"/>
          <w:szCs w:val="20"/>
          <w:u w:val="single"/>
        </w:rPr>
      </w:pPr>
      <w:r w:rsidRPr="00265A65">
        <w:rPr>
          <w:rFonts w:ascii="Comic Sans MS" w:hAnsi="Comic Sans MS" w:cs="Arial"/>
          <w:bCs/>
          <w:sz w:val="20"/>
          <w:szCs w:val="20"/>
          <w:u w:val="single"/>
        </w:rPr>
        <w:sym w:font="Wingdings" w:char="F0D8"/>
      </w:r>
      <w:r w:rsidRPr="00265A65">
        <w:rPr>
          <w:rFonts w:ascii="Comic Sans MS" w:hAnsi="Comic Sans MS" w:cs="Arial"/>
          <w:bCs/>
          <w:sz w:val="20"/>
          <w:szCs w:val="20"/>
          <w:u w:val="single"/>
        </w:rPr>
        <w:t xml:space="preserve"> Le</w:t>
      </w:r>
      <w:r>
        <w:rPr>
          <w:rFonts w:ascii="Comic Sans MS" w:hAnsi="Comic Sans MS" w:cs="Arial"/>
          <w:bCs/>
          <w:sz w:val="20"/>
          <w:szCs w:val="20"/>
          <w:u w:val="single"/>
        </w:rPr>
        <w:t xml:space="preserve"> message nerveux</w:t>
      </w:r>
      <w:r w:rsidRPr="00265A65">
        <w:rPr>
          <w:rFonts w:ascii="Comic Sans MS" w:hAnsi="Comic Sans MS" w:cs="Arial"/>
          <w:bCs/>
          <w:sz w:val="20"/>
          <w:szCs w:val="20"/>
          <w:u w:val="single"/>
        </w:rPr>
        <w:t>:</w:t>
      </w:r>
    </w:p>
    <w:p w:rsidR="002E3353" w:rsidRDefault="00DF3C96" w:rsidP="002E3353">
      <w:pPr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(</w:t>
      </w:r>
      <w:r w:rsidR="002E3353">
        <w:rPr>
          <w:rFonts w:ascii="Comic Sans MS" w:hAnsi="Comic Sans MS"/>
          <w:i/>
          <w:sz w:val="20"/>
          <w:szCs w:val="20"/>
        </w:rPr>
        <w:t>TP EXAO : Savoir réaliser un montage permettant l’enregistrement d’un potentiel global du nerf</w:t>
      </w:r>
      <w:r>
        <w:rPr>
          <w:rFonts w:ascii="Comic Sans MS" w:hAnsi="Comic Sans MS"/>
          <w:i/>
          <w:sz w:val="20"/>
          <w:szCs w:val="20"/>
        </w:rPr>
        <w:t>)</w:t>
      </w:r>
    </w:p>
    <w:p w:rsidR="006A2EC6" w:rsidRDefault="002E3353" w:rsidP="006A2EC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le montage permettant d’enregistre un potentiel d’action</w:t>
      </w:r>
      <w:r w:rsidR="006A2EC6" w:rsidRPr="006A2EC6">
        <w:rPr>
          <w:rFonts w:ascii="Comic Sans MS" w:hAnsi="Comic Sans MS"/>
          <w:sz w:val="20"/>
          <w:szCs w:val="20"/>
        </w:rPr>
        <w:t xml:space="preserve"> </w:t>
      </w:r>
    </w:p>
    <w:p w:rsidR="002E3353" w:rsidRPr="006A2EC6" w:rsidRDefault="006A2EC6" w:rsidP="006A2EC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2E3353">
        <w:rPr>
          <w:rFonts w:ascii="Comic Sans MS" w:hAnsi="Comic Sans MS"/>
          <w:sz w:val="20"/>
          <w:szCs w:val="20"/>
        </w:rPr>
        <w:t>Etre capable de déterminer les caractéristiques du potentiel global</w:t>
      </w:r>
    </w:p>
    <w:p w:rsidR="00546025" w:rsidRPr="00546025" w:rsidRDefault="002E3353" w:rsidP="00546025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différencier potentiel global et potentiel d’action</w:t>
      </w:r>
    </w:p>
    <w:p w:rsidR="002E3353" w:rsidRDefault="002E3353" w:rsidP="002E335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Etre capable de représenter et de déterminer les différentes phases d’un potentiel d’action</w:t>
      </w:r>
    </w:p>
    <w:p w:rsidR="00546025" w:rsidRDefault="00546025" w:rsidP="002E335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différencier l’intensité d’une stimulation et l’amplitude de la réponse.</w:t>
      </w:r>
    </w:p>
    <w:p w:rsidR="00C35D3C" w:rsidRDefault="00C35D3C" w:rsidP="002E335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Savoir, à partir d’un graphique calculer la vitesse du message nerveux</w:t>
      </w:r>
    </w:p>
    <w:p w:rsidR="00C35D3C" w:rsidRDefault="00C35D3C" w:rsidP="002E335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déterminer les propriétés du message nerveux</w:t>
      </w:r>
    </w:p>
    <w:p w:rsidR="00C35D3C" w:rsidRDefault="00C35D3C" w:rsidP="002E335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déterminer</w:t>
      </w:r>
      <w:r w:rsidR="001B50AF">
        <w:rPr>
          <w:rFonts w:ascii="Comic Sans MS" w:hAnsi="Comic Sans MS"/>
          <w:sz w:val="20"/>
          <w:szCs w:val="20"/>
        </w:rPr>
        <w:t xml:space="preserve"> comment le message nerveux traduit l’intensité de la stimulation</w:t>
      </w:r>
    </w:p>
    <w:p w:rsidR="00546025" w:rsidRPr="00546025" w:rsidRDefault="00546025" w:rsidP="00546025">
      <w:pPr>
        <w:pStyle w:val="Pieddepage"/>
        <w:tabs>
          <w:tab w:val="clear" w:pos="4536"/>
          <w:tab w:val="clear" w:pos="9072"/>
        </w:tabs>
        <w:spacing w:line="360" w:lineRule="auto"/>
        <w:jc w:val="both"/>
        <w:rPr>
          <w:rFonts w:ascii="Comic Sans MS" w:hAnsi="Comic Sans MS" w:cs="Arial"/>
          <w:bCs/>
          <w:sz w:val="20"/>
          <w:szCs w:val="20"/>
          <w:u w:val="single"/>
        </w:rPr>
      </w:pPr>
      <w:r w:rsidRPr="00265A65">
        <w:rPr>
          <w:rFonts w:ascii="Comic Sans MS" w:hAnsi="Comic Sans MS" w:cs="Arial"/>
          <w:bCs/>
          <w:sz w:val="20"/>
          <w:szCs w:val="20"/>
          <w:u w:val="single"/>
        </w:rPr>
        <w:sym w:font="Wingdings" w:char="F0D8"/>
      </w:r>
      <w:r w:rsidRPr="00265A65">
        <w:rPr>
          <w:rFonts w:ascii="Comic Sans MS" w:hAnsi="Comic Sans MS" w:cs="Arial"/>
          <w:bCs/>
          <w:sz w:val="20"/>
          <w:szCs w:val="20"/>
          <w:u w:val="single"/>
        </w:rPr>
        <w:t xml:space="preserve"> </w:t>
      </w:r>
      <w:r>
        <w:rPr>
          <w:rFonts w:ascii="Comic Sans MS" w:hAnsi="Comic Sans MS" w:cs="Arial"/>
          <w:bCs/>
          <w:sz w:val="20"/>
          <w:szCs w:val="20"/>
          <w:u w:val="single"/>
        </w:rPr>
        <w:t>La transmission synaptique</w:t>
      </w:r>
      <w:r w:rsidRPr="00265A65">
        <w:rPr>
          <w:rFonts w:ascii="Comic Sans MS" w:hAnsi="Comic Sans MS" w:cs="Arial"/>
          <w:bCs/>
          <w:sz w:val="20"/>
          <w:szCs w:val="20"/>
          <w:u w:val="single"/>
        </w:rPr>
        <w:t>:</w:t>
      </w:r>
    </w:p>
    <w:p w:rsidR="00546025" w:rsidRDefault="00546025" w:rsidP="002E335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décrire et schématiser le fonctionnement d’une synapse</w:t>
      </w:r>
    </w:p>
    <w:p w:rsidR="00546025" w:rsidRDefault="00546025" w:rsidP="002E335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le fonctionnement et le rôle des synapses  excitatrices et inhibitrices</w:t>
      </w:r>
    </w:p>
    <w:p w:rsidR="00546025" w:rsidRPr="002E3353" w:rsidRDefault="006A2EC6" w:rsidP="002E3353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Comprendre les effets des molécules pharmacologiques antagonistes et agonistes </w:t>
      </w:r>
      <w:proofErr w:type="gramStart"/>
      <w:r>
        <w:rPr>
          <w:rFonts w:ascii="Comic Sans MS" w:hAnsi="Comic Sans MS"/>
          <w:sz w:val="20"/>
          <w:szCs w:val="20"/>
        </w:rPr>
        <w:t>d’ un</w:t>
      </w:r>
      <w:proofErr w:type="gramEnd"/>
      <w:r>
        <w:rPr>
          <w:rFonts w:ascii="Comic Sans MS" w:hAnsi="Comic Sans MS"/>
          <w:sz w:val="20"/>
          <w:szCs w:val="20"/>
        </w:rPr>
        <w:t xml:space="preserve"> NT.</w:t>
      </w:r>
    </w:p>
    <w:p w:rsidR="002E3353" w:rsidRDefault="002E3353"/>
    <w:p w:rsidR="002F5A95" w:rsidRDefault="002F5A95" w:rsidP="002F5A95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b/>
          <w:bCs/>
          <w:sz w:val="20"/>
          <w:szCs w:val="20"/>
        </w:rPr>
      </w:pPr>
    </w:p>
    <w:p w:rsidR="002F5A95" w:rsidRDefault="002F5A95" w:rsidP="002F5A95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b/>
          <w:bCs/>
          <w:sz w:val="20"/>
          <w:szCs w:val="20"/>
        </w:rPr>
      </w:pPr>
    </w:p>
    <w:p w:rsidR="002F5A95" w:rsidRDefault="002F5A95" w:rsidP="002F5A95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b/>
          <w:bCs/>
          <w:sz w:val="20"/>
          <w:szCs w:val="20"/>
        </w:rPr>
      </w:pPr>
    </w:p>
    <w:p w:rsidR="002F5A95" w:rsidRDefault="002F5A95" w:rsidP="002F5A95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b/>
          <w:bCs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12- </w:t>
      </w:r>
      <w:bookmarkStart w:id="0" w:name="_GoBack"/>
      <w:r w:rsidR="0013206E">
        <w:rPr>
          <w:rFonts w:ascii="Comic Sans MS" w:hAnsi="Comic Sans MS"/>
          <w:b/>
          <w:bCs/>
          <w:sz w:val="20"/>
          <w:szCs w:val="20"/>
        </w:rPr>
        <w:t>Motricité volontaire et plasticité cérébrale</w:t>
      </w:r>
      <w:bookmarkEnd w:id="0"/>
    </w:p>
    <w:p w:rsidR="002F5A95" w:rsidRDefault="002F5A95" w:rsidP="002F5A95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</w:p>
    <w:p w:rsidR="002F5A95" w:rsidRPr="00060A00" w:rsidRDefault="002F5A95" w:rsidP="002F5A95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tbl>
      <w:tblPr>
        <w:tblpPr w:leftFromText="141" w:rightFromText="141" w:vertAnchor="text" w:horzAnchor="margin" w:tblpXSpec="center" w:tblpY="230"/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16"/>
        <w:gridCol w:w="4728"/>
      </w:tblGrid>
      <w:tr w:rsidR="00834A00" w:rsidTr="00834A00">
        <w:trPr>
          <w:trHeight w:val="699"/>
        </w:trPr>
        <w:tc>
          <w:tcPr>
            <w:tcW w:w="5616" w:type="dxa"/>
          </w:tcPr>
          <w:p w:rsidR="00834A00" w:rsidRDefault="00834A00" w:rsidP="00834A0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Imagerie médicale ; Encéphale ; hémisphères cérébraux ; cortex ; cortex moteur ; </w:t>
            </w:r>
          </w:p>
        </w:tc>
        <w:tc>
          <w:tcPr>
            <w:tcW w:w="4728" w:type="dxa"/>
          </w:tcPr>
          <w:p w:rsidR="00834A00" w:rsidRDefault="00834A00" w:rsidP="00834A0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Motoneurone ; intégration du message ; sommation temporelle et sommation spatiale ; plasticité cérébrale ;</w:t>
            </w:r>
          </w:p>
        </w:tc>
      </w:tr>
    </w:tbl>
    <w:p w:rsidR="002F5A95" w:rsidRDefault="002F5A95" w:rsidP="002F5A95"/>
    <w:p w:rsidR="002F5A95" w:rsidRDefault="002F5A95" w:rsidP="002F5A95">
      <w:pPr>
        <w:pStyle w:val="Pieddepage"/>
        <w:tabs>
          <w:tab w:val="clear" w:pos="4536"/>
          <w:tab w:val="clear" w:pos="9072"/>
        </w:tabs>
        <w:spacing w:line="360" w:lineRule="auto"/>
        <w:jc w:val="both"/>
        <w:rPr>
          <w:rFonts w:ascii="Comic Sans MS" w:hAnsi="Comic Sans MS" w:cs="Arial"/>
          <w:b/>
          <w:bCs/>
          <w:sz w:val="20"/>
          <w:szCs w:val="20"/>
        </w:rPr>
      </w:pPr>
      <w:r>
        <w:rPr>
          <w:rFonts w:ascii="Comic Sans MS" w:hAnsi="Comic Sans MS" w:cs="Arial"/>
          <w:b/>
          <w:bCs/>
          <w:sz w:val="20"/>
          <w:szCs w:val="20"/>
        </w:rPr>
        <w:t>Savoir et savoir-faire à connaître ou maîtriser</w:t>
      </w:r>
    </w:p>
    <w:p w:rsidR="006A2EC6" w:rsidRPr="00834A00" w:rsidRDefault="006A2EC6" w:rsidP="006A2EC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834A00">
        <w:rPr>
          <w:rFonts w:ascii="Comic Sans MS" w:hAnsi="Comic Sans MS"/>
          <w:i/>
          <w:sz w:val="20"/>
          <w:szCs w:val="20"/>
        </w:rPr>
        <w:t>TP Exploration fonctionnelle du cerveau à partir d’imageries médicales</w:t>
      </w:r>
      <w:r w:rsidRPr="00834A00">
        <w:rPr>
          <w:rFonts w:ascii="Comic Sans MS" w:hAnsi="Comic Sans MS"/>
          <w:sz w:val="20"/>
          <w:szCs w:val="20"/>
        </w:rPr>
        <w:t xml:space="preserve"> </w:t>
      </w:r>
      <w:r w:rsidR="00834A00" w:rsidRPr="00834A00">
        <w:rPr>
          <w:rFonts w:ascii="Comic Sans MS" w:hAnsi="Comic Sans MS"/>
          <w:sz w:val="20"/>
          <w:szCs w:val="20"/>
        </w:rPr>
        <w:t>(</w:t>
      </w:r>
      <w:r w:rsidR="00834A00">
        <w:rPr>
          <w:rFonts w:ascii="Comic Sans MS" w:hAnsi="Comic Sans MS"/>
          <w:sz w:val="20"/>
          <w:szCs w:val="20"/>
        </w:rPr>
        <w:t xml:space="preserve">logiciel </w:t>
      </w:r>
      <w:proofErr w:type="spellStart"/>
      <w:r w:rsidR="00834A00" w:rsidRPr="00834A00">
        <w:rPr>
          <w:rFonts w:ascii="Comic Sans MS" w:hAnsi="Comic Sans MS"/>
          <w:sz w:val="20"/>
          <w:szCs w:val="20"/>
        </w:rPr>
        <w:t>Edu</w:t>
      </w:r>
      <w:r w:rsidR="00834A00">
        <w:rPr>
          <w:rFonts w:ascii="Comic Sans MS" w:hAnsi="Comic Sans MS"/>
          <w:sz w:val="20"/>
          <w:szCs w:val="20"/>
        </w:rPr>
        <w:t>A</w:t>
      </w:r>
      <w:r w:rsidR="00834A00" w:rsidRPr="00834A00">
        <w:rPr>
          <w:rFonts w:ascii="Comic Sans MS" w:hAnsi="Comic Sans MS"/>
          <w:sz w:val="20"/>
          <w:szCs w:val="20"/>
        </w:rPr>
        <w:t>natomist</w:t>
      </w:r>
      <w:proofErr w:type="spellEnd"/>
      <w:r w:rsidR="00834A00" w:rsidRPr="00834A00">
        <w:rPr>
          <w:rFonts w:ascii="Comic Sans MS" w:hAnsi="Comic Sans MS"/>
          <w:sz w:val="20"/>
          <w:szCs w:val="20"/>
        </w:rPr>
        <w:t>)</w:t>
      </w:r>
    </w:p>
    <w:p w:rsidR="006A2EC6" w:rsidRPr="00834A00" w:rsidRDefault="006A2EC6" w:rsidP="00834A0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Savoir </w:t>
      </w:r>
      <w:r w:rsidR="00834A00">
        <w:rPr>
          <w:rFonts w:ascii="Comic Sans MS" w:hAnsi="Comic Sans MS"/>
          <w:sz w:val="20"/>
          <w:szCs w:val="20"/>
        </w:rPr>
        <w:t xml:space="preserve">localiser et déterminer le rôle des aires motrice et </w:t>
      </w:r>
      <w:proofErr w:type="spellStart"/>
      <w:r w:rsidR="00834A00">
        <w:rPr>
          <w:rFonts w:ascii="Comic Sans MS" w:hAnsi="Comic Sans MS"/>
          <w:sz w:val="20"/>
          <w:szCs w:val="20"/>
        </w:rPr>
        <w:t>prémotrice</w:t>
      </w:r>
      <w:proofErr w:type="spellEnd"/>
      <w:r w:rsidR="00834A00">
        <w:rPr>
          <w:rFonts w:ascii="Comic Sans MS" w:hAnsi="Comic Sans MS"/>
          <w:sz w:val="20"/>
          <w:szCs w:val="20"/>
        </w:rPr>
        <w:t>.</w:t>
      </w:r>
    </w:p>
    <w:p w:rsidR="00DF3C96" w:rsidRPr="00DF3C96" w:rsidRDefault="00DF3C96" w:rsidP="00DF3C96">
      <w:pPr>
        <w:numPr>
          <w:ilvl w:val="0"/>
          <w:numId w:val="1"/>
        </w:numPr>
        <w:rPr>
          <w:i/>
        </w:rPr>
      </w:pPr>
      <w:r w:rsidRPr="00DF3C96">
        <w:rPr>
          <w:rFonts w:ascii="Comic Sans MS" w:hAnsi="Comic Sans MS"/>
          <w:i/>
          <w:sz w:val="20"/>
          <w:szCs w:val="20"/>
        </w:rPr>
        <w:t>TP EXAO : Savoir mettre en évidence l’innervation réciproque</w:t>
      </w:r>
    </w:p>
    <w:p w:rsidR="00DF3C96" w:rsidRPr="00DF3C96" w:rsidRDefault="00DF3C96" w:rsidP="00DF3C96">
      <w:pPr>
        <w:numPr>
          <w:ilvl w:val="0"/>
          <w:numId w:val="1"/>
        </w:numPr>
        <w:rPr>
          <w:i/>
        </w:rPr>
      </w:pPr>
      <w:r w:rsidRPr="00DF3C96">
        <w:rPr>
          <w:rFonts w:ascii="Comic Sans MS" w:hAnsi="Comic Sans MS"/>
          <w:i/>
          <w:sz w:val="20"/>
          <w:szCs w:val="20"/>
        </w:rPr>
        <w:t>TP EXAO :</w:t>
      </w:r>
      <w:proofErr w:type="gramStart"/>
      <w:r w:rsidRPr="00DF3C96">
        <w:rPr>
          <w:rFonts w:ascii="Comic Sans MS" w:hAnsi="Comic Sans MS"/>
          <w:i/>
          <w:sz w:val="20"/>
          <w:szCs w:val="20"/>
        </w:rPr>
        <w:t>  Savoir</w:t>
      </w:r>
      <w:proofErr w:type="gramEnd"/>
      <w:r w:rsidRPr="00DF3C96">
        <w:rPr>
          <w:rFonts w:ascii="Comic Sans MS" w:hAnsi="Comic Sans MS"/>
          <w:i/>
          <w:sz w:val="20"/>
          <w:szCs w:val="20"/>
        </w:rPr>
        <w:t xml:space="preserve"> mettre en évidence l’inhibition volontaire du réflexe</w:t>
      </w:r>
    </w:p>
    <w:p w:rsidR="00DF3C96" w:rsidRPr="00DF3C96" w:rsidRDefault="00DF3C96" w:rsidP="00DF3C9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comment sont intégrés les messages nerveux au niveau d’un centre nerveux</w:t>
      </w:r>
    </w:p>
    <w:p w:rsidR="002F5A95" w:rsidRDefault="002F5A95" w:rsidP="002F5A95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exploiter des documents mettant en évidence la plasticité cérébrale.</w:t>
      </w:r>
    </w:p>
    <w:p w:rsidR="002F5A95" w:rsidRDefault="002F5A95" w:rsidP="002F5A95">
      <w:pPr>
        <w:ind w:left="720"/>
        <w:rPr>
          <w:rFonts w:ascii="Comic Sans MS" w:hAnsi="Comic Sans MS"/>
          <w:sz w:val="20"/>
          <w:szCs w:val="20"/>
        </w:rPr>
      </w:pPr>
    </w:p>
    <w:p w:rsidR="002F5A95" w:rsidRDefault="002F5A95"/>
    <w:sectPr w:rsidR="002F5A95" w:rsidSect="002E3353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6262D"/>
    <w:multiLevelType w:val="hybridMultilevel"/>
    <w:tmpl w:val="775454FA"/>
    <w:lvl w:ilvl="0" w:tplc="040C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190"/>
    <w:rsid w:val="00061605"/>
    <w:rsid w:val="00122190"/>
    <w:rsid w:val="0013206E"/>
    <w:rsid w:val="001B50AF"/>
    <w:rsid w:val="00265A65"/>
    <w:rsid w:val="00284D71"/>
    <w:rsid w:val="002D3670"/>
    <w:rsid w:val="002E3353"/>
    <w:rsid w:val="002F5A95"/>
    <w:rsid w:val="00320542"/>
    <w:rsid w:val="00332497"/>
    <w:rsid w:val="00363D9A"/>
    <w:rsid w:val="003F7DC7"/>
    <w:rsid w:val="00425B85"/>
    <w:rsid w:val="004A0A34"/>
    <w:rsid w:val="005179FD"/>
    <w:rsid w:val="00546025"/>
    <w:rsid w:val="00574415"/>
    <w:rsid w:val="00627742"/>
    <w:rsid w:val="006A2EC6"/>
    <w:rsid w:val="00725808"/>
    <w:rsid w:val="007E4A7A"/>
    <w:rsid w:val="00834A00"/>
    <w:rsid w:val="00C35D3C"/>
    <w:rsid w:val="00D30B60"/>
    <w:rsid w:val="00D514B3"/>
    <w:rsid w:val="00DC30B1"/>
    <w:rsid w:val="00DF3C96"/>
    <w:rsid w:val="00EB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="Comic Sans MS" w:hAnsi="Comic Sans MS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190"/>
    <w:rPr>
      <w:rFonts w:ascii="Times New Roman" w:eastAsia="Times New Roman" w:hAnsi="Times New Roman"/>
      <w:sz w:val="24"/>
      <w:szCs w:val="24"/>
    </w:rPr>
  </w:style>
  <w:style w:type="paragraph" w:styleId="Titre3">
    <w:name w:val="heading 3"/>
    <w:basedOn w:val="Normal"/>
    <w:next w:val="Normal"/>
    <w:link w:val="Titre3Car"/>
    <w:qFormat/>
    <w:rsid w:val="00122190"/>
    <w:pPr>
      <w:keepNext/>
      <w:outlineLvl w:val="2"/>
    </w:pPr>
    <w:rPr>
      <w:b/>
      <w:bC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rsid w:val="00122190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122190"/>
    <w:pPr>
      <w:tabs>
        <w:tab w:val="center" w:pos="4536"/>
        <w:tab w:val="right" w:pos="9072"/>
      </w:tabs>
      <w:autoSpaceDE w:val="0"/>
      <w:autoSpaceDN w:val="0"/>
    </w:pPr>
  </w:style>
  <w:style w:type="character" w:customStyle="1" w:styleId="PieddepageCar">
    <w:name w:val="Pied de page Car"/>
    <w:basedOn w:val="Policepardfaut"/>
    <w:link w:val="Pieddepage"/>
    <w:semiHidden/>
    <w:rsid w:val="00122190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="Comic Sans MS" w:hAnsi="Comic Sans MS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190"/>
    <w:rPr>
      <w:rFonts w:ascii="Times New Roman" w:eastAsia="Times New Roman" w:hAnsi="Times New Roman"/>
      <w:sz w:val="24"/>
      <w:szCs w:val="24"/>
    </w:rPr>
  </w:style>
  <w:style w:type="paragraph" w:styleId="Titre3">
    <w:name w:val="heading 3"/>
    <w:basedOn w:val="Normal"/>
    <w:next w:val="Normal"/>
    <w:link w:val="Titre3Car"/>
    <w:qFormat/>
    <w:rsid w:val="00122190"/>
    <w:pPr>
      <w:keepNext/>
      <w:outlineLvl w:val="2"/>
    </w:pPr>
    <w:rPr>
      <w:b/>
      <w:bC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rsid w:val="00122190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122190"/>
    <w:pPr>
      <w:tabs>
        <w:tab w:val="center" w:pos="4536"/>
        <w:tab w:val="right" w:pos="9072"/>
      </w:tabs>
      <w:autoSpaceDE w:val="0"/>
      <w:autoSpaceDN w:val="0"/>
    </w:pPr>
  </w:style>
  <w:style w:type="character" w:customStyle="1" w:styleId="PieddepageCar">
    <w:name w:val="Pied de page Car"/>
    <w:basedOn w:val="Policepardfaut"/>
    <w:link w:val="Pieddepage"/>
    <w:semiHidden/>
    <w:rsid w:val="00122190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C1D1EAD-F745-4325-A019-190971FAC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 Grolleau</dc:creator>
  <cp:lastModifiedBy>h</cp:lastModifiedBy>
  <cp:revision>2</cp:revision>
  <dcterms:created xsi:type="dcterms:W3CDTF">2018-05-07T15:48:00Z</dcterms:created>
  <dcterms:modified xsi:type="dcterms:W3CDTF">2018-05-07T15:48:00Z</dcterms:modified>
</cp:coreProperties>
</file>