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331" w:rsidRDefault="00B22331" w:rsidP="004B3345">
      <w:pPr>
        <w:spacing w:before="100" w:beforeAutospacing="1" w:after="100" w:afterAutospacing="1"/>
        <w:ind w:left="60"/>
        <w:jc w:val="center"/>
        <w:rPr>
          <w:rFonts w:ascii="Comic Sans MS" w:hAnsi="Comic Sans MS"/>
          <w:sz w:val="20"/>
          <w:szCs w:val="20"/>
        </w:rPr>
      </w:pPr>
      <w:bookmarkStart w:id="0" w:name="sida"/>
      <w:bookmarkStart w:id="1" w:name="_GoBack"/>
      <w:bookmarkEnd w:id="0"/>
      <w:bookmarkEnd w:id="1"/>
      <w:r>
        <w:rPr>
          <w:rFonts w:ascii="Arial" w:hAnsi="Arial" w:cs="Arial"/>
          <w:b/>
          <w:bCs/>
          <w:sz w:val="28"/>
        </w:rPr>
        <w:t>Immunologie.</w:t>
      </w:r>
      <w:r>
        <w:rPr>
          <w:rFonts w:ascii="Comic Sans MS" w:hAnsi="Comic Sans MS"/>
          <w:b/>
          <w:bCs/>
          <w:sz w:val="20"/>
          <w:szCs w:val="20"/>
        </w:rPr>
        <w:br/>
      </w: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1</w:t>
      </w:r>
      <w:r w:rsidR="009643E8">
        <w:rPr>
          <w:rFonts w:ascii="Comic Sans MS" w:hAnsi="Comic Sans MS"/>
          <w:b/>
          <w:bCs/>
          <w:sz w:val="20"/>
          <w:szCs w:val="20"/>
        </w:rPr>
        <w:t>2</w:t>
      </w:r>
      <w:r>
        <w:rPr>
          <w:rFonts w:ascii="Comic Sans MS" w:hAnsi="Comic Sans MS"/>
          <w:b/>
          <w:bCs/>
          <w:sz w:val="20"/>
          <w:szCs w:val="20"/>
        </w:rPr>
        <w:t xml:space="preserve">- </w:t>
      </w:r>
      <w:r w:rsidR="009643E8">
        <w:rPr>
          <w:rFonts w:ascii="Comic Sans MS" w:hAnsi="Comic Sans MS"/>
          <w:b/>
          <w:bCs/>
          <w:sz w:val="20"/>
          <w:szCs w:val="20"/>
        </w:rPr>
        <w:t>La réaction inflammatoire, un exemple de réponse innée.</w:t>
      </w:r>
    </w:p>
    <w:p w:rsidR="009643E8" w:rsidRDefault="009643E8" w:rsidP="009643E8">
      <w:pPr>
        <w:pStyle w:val="NormalWeb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>Mots-clés : définitions à savoir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68"/>
        <w:gridCol w:w="7126"/>
      </w:tblGrid>
      <w:tr w:rsidR="007C24CD" w:rsidTr="009A26F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43E8" w:rsidRDefault="009643E8" w:rsidP="009A26F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Barrières naturelles ;</w:t>
            </w:r>
          </w:p>
          <w:p w:rsidR="009643E8" w:rsidRDefault="009643E8" w:rsidP="009A26F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Réponse innée-réponse adaptative ;  réaction inflammatoire ; </w:t>
            </w:r>
            <w:r w:rsidR="007C24CD">
              <w:rPr>
                <w:rFonts w:ascii="Comic Sans MS" w:hAnsi="Comic Sans MS"/>
                <w:sz w:val="20"/>
                <w:szCs w:val="20"/>
              </w:rPr>
              <w:t xml:space="preserve">phagocytose ; antigène ; CMH ; CPA ;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643E8" w:rsidRDefault="009643E8" w:rsidP="007C24C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Frottis sanguin ; cellules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immuno-compétentes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 : monocytes-macrophages ; cellules dendritiques ; granulocytes-mastocytes ; cellules sentinelles ; </w:t>
            </w:r>
            <w:r w:rsidR="007C24CD">
              <w:rPr>
                <w:rFonts w:ascii="Comic Sans MS" w:hAnsi="Comic Sans MS"/>
                <w:sz w:val="20"/>
                <w:szCs w:val="20"/>
              </w:rPr>
              <w:t xml:space="preserve">diapédèse ; médiateurs de l’inflammation (prostaglandines ; histamine…) ; antalgiques et anti-inflammatoires (stéroïdiens et non stéroïdiens) </w:t>
            </w:r>
          </w:p>
        </w:tc>
      </w:tr>
    </w:tbl>
    <w:p w:rsidR="009643E8" w:rsidRDefault="009643E8" w:rsidP="009643E8">
      <w:pPr>
        <w:pStyle w:val="NormalWeb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>Savoir et savoir-faire à maîtriser</w:t>
      </w:r>
    </w:p>
    <w:p w:rsidR="007C24CD" w:rsidRPr="00660654" w:rsidRDefault="007C24CD" w:rsidP="007C24CD">
      <w:pPr>
        <w:numPr>
          <w:ilvl w:val="0"/>
          <w:numId w:val="2"/>
        </w:numPr>
        <w:tabs>
          <w:tab w:val="clear" w:pos="1080"/>
        </w:tabs>
        <w:spacing w:before="100" w:beforeAutospacing="1" w:after="100" w:afterAutospacing="1"/>
        <w:ind w:left="57"/>
        <w:rPr>
          <w:rFonts w:ascii="Comic Sans MS" w:hAnsi="Comic Sans MS"/>
          <w:i/>
          <w:sz w:val="20"/>
          <w:szCs w:val="20"/>
        </w:rPr>
      </w:pPr>
      <w:r w:rsidRPr="00660654">
        <w:rPr>
          <w:rFonts w:ascii="Comic Sans MS" w:hAnsi="Comic Sans MS"/>
          <w:i/>
          <w:sz w:val="20"/>
          <w:szCs w:val="20"/>
        </w:rPr>
        <w:t>TP : Observation d’un frottis sanguin et reconnaissance des leucocytes</w:t>
      </w:r>
    </w:p>
    <w:p w:rsidR="009643E8" w:rsidRDefault="007C24CD" w:rsidP="009643E8">
      <w:pPr>
        <w:numPr>
          <w:ilvl w:val="0"/>
          <w:numId w:val="2"/>
        </w:numPr>
        <w:tabs>
          <w:tab w:val="clear" w:pos="1080"/>
        </w:tabs>
        <w:spacing w:before="100" w:beforeAutospacing="1" w:after="100" w:afterAutospacing="1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Etre capable de différencier l’immunité innée de l’immunité adaptative</w:t>
      </w:r>
    </w:p>
    <w:p w:rsidR="007C24CD" w:rsidRDefault="007C24CD" w:rsidP="009643E8">
      <w:pPr>
        <w:numPr>
          <w:ilvl w:val="0"/>
          <w:numId w:val="2"/>
        </w:numPr>
        <w:tabs>
          <w:tab w:val="clear" w:pos="1080"/>
        </w:tabs>
        <w:spacing w:before="100" w:beforeAutospacing="1" w:after="100" w:afterAutospacing="1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Définir la réaction inflammatoire (4 symptômes ; caractéristiques ; mécanismes)</w:t>
      </w:r>
    </w:p>
    <w:p w:rsidR="007C24CD" w:rsidRDefault="007C24CD" w:rsidP="009643E8">
      <w:pPr>
        <w:numPr>
          <w:ilvl w:val="0"/>
          <w:numId w:val="2"/>
        </w:numPr>
        <w:tabs>
          <w:tab w:val="clear" w:pos="1080"/>
        </w:tabs>
        <w:spacing w:before="100" w:beforeAutospacing="1" w:after="100" w:afterAutospacing="1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schématiser les étapes de la phagocytose.</w:t>
      </w:r>
    </w:p>
    <w:p w:rsidR="007C24CD" w:rsidRDefault="007C24CD" w:rsidP="009643E8">
      <w:pPr>
        <w:numPr>
          <w:ilvl w:val="0"/>
          <w:numId w:val="2"/>
        </w:numPr>
        <w:tabs>
          <w:tab w:val="clear" w:pos="1080"/>
        </w:tabs>
        <w:spacing w:before="100" w:beforeAutospacing="1" w:after="100" w:afterAutospacing="1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Définir les différentes actions des médiateurs chimiques de l’inflammation</w:t>
      </w:r>
    </w:p>
    <w:p w:rsidR="007C24CD" w:rsidRDefault="007C24CD" w:rsidP="009643E8">
      <w:pPr>
        <w:numPr>
          <w:ilvl w:val="0"/>
          <w:numId w:val="2"/>
        </w:numPr>
        <w:tabs>
          <w:tab w:val="clear" w:pos="1080"/>
        </w:tabs>
        <w:spacing w:before="100" w:beforeAutospacing="1" w:after="100" w:afterAutospacing="1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comment la réaction inflammatoire prépare la réponse adaptative</w:t>
      </w:r>
    </w:p>
    <w:p w:rsidR="007C24CD" w:rsidRDefault="007C24CD" w:rsidP="009643E8">
      <w:pPr>
        <w:numPr>
          <w:ilvl w:val="0"/>
          <w:numId w:val="2"/>
        </w:numPr>
        <w:tabs>
          <w:tab w:val="clear" w:pos="1080"/>
        </w:tabs>
        <w:spacing w:before="100" w:beforeAutospacing="1" w:after="100" w:afterAutospacing="1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ce qu’est le CMH et une CPA.</w:t>
      </w:r>
    </w:p>
    <w:p w:rsidR="007C24CD" w:rsidRDefault="007C24CD" w:rsidP="009643E8">
      <w:pPr>
        <w:numPr>
          <w:ilvl w:val="0"/>
          <w:numId w:val="2"/>
        </w:numPr>
        <w:tabs>
          <w:tab w:val="clear" w:pos="1080"/>
        </w:tabs>
        <w:spacing w:before="100" w:beforeAutospacing="1" w:after="100" w:afterAutospacing="1"/>
        <w:ind w:left="57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l’effet des anti-inflammatoires… et appréhender leurs effets secondaires</w:t>
      </w:r>
    </w:p>
    <w:p w:rsidR="00B22331" w:rsidRDefault="00B22331">
      <w:pPr>
        <w:spacing w:before="100" w:beforeAutospacing="1" w:after="100" w:afterAutospacing="1"/>
        <w:rPr>
          <w:rFonts w:ascii="Comic Sans MS" w:hAnsi="Comic Sans MS"/>
          <w:sz w:val="20"/>
          <w:szCs w:val="20"/>
        </w:rPr>
      </w:pPr>
    </w:p>
    <w:p w:rsidR="00B22331" w:rsidRDefault="00B22331">
      <w:pPr>
        <w:jc w:val="center"/>
        <w:rPr>
          <w:rFonts w:ascii="Comic Sans MS" w:hAnsi="Comic Sans MS"/>
          <w:b/>
          <w:bCs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7C24CD">
        <w:rPr>
          <w:rFonts w:ascii="Comic Sans MS" w:hAnsi="Comic Sans MS"/>
          <w:b/>
          <w:bCs/>
          <w:sz w:val="20"/>
          <w:szCs w:val="20"/>
        </w:rPr>
        <w:t>13 L’immunité adaptative, prolongement de l’immunité innée.</w:t>
      </w:r>
    </w:p>
    <w:p w:rsidR="003A1266" w:rsidRDefault="003A1266">
      <w:pPr>
        <w:jc w:val="center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14 : Phénotype immunitaire au cours de la vie Mémoire et vaccination.</w:t>
      </w:r>
    </w:p>
    <w:p w:rsidR="00B22331" w:rsidRDefault="00B22331">
      <w:pPr>
        <w:pStyle w:val="NormalWeb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>Mots-clés : définitions à savoir</w:t>
      </w:r>
    </w:p>
    <w:tbl>
      <w:tblPr>
        <w:tblW w:w="10095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4"/>
        <w:gridCol w:w="4621"/>
      </w:tblGrid>
      <w:tr w:rsidR="00B22331">
        <w:trPr>
          <w:tblCellSpacing w:w="15" w:type="dxa"/>
          <w:jc w:val="center"/>
        </w:trPr>
        <w:tc>
          <w:tcPr>
            <w:tcW w:w="2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A1266" w:rsidRDefault="003A1266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Organes lymphoïdes primaires (moelle osseuse et thymus) et secondaires (ganglions, rate…)</w:t>
            </w:r>
          </w:p>
          <w:p w:rsidR="00B22331" w:rsidRDefault="00B2233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Antigène</w:t>
            </w:r>
            <w:r>
              <w:rPr>
                <w:rFonts w:ascii="Comic Sans MS" w:hAnsi="Comic Sans MS"/>
                <w:sz w:val="20"/>
                <w:szCs w:val="20"/>
              </w:rPr>
              <w:br/>
              <w:t>Spécificité</w:t>
            </w:r>
          </w:p>
          <w:p w:rsidR="00914EE2" w:rsidRDefault="00B22331" w:rsidP="00914EE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Immunoglobuline : </w:t>
            </w:r>
            <w:r>
              <w:rPr>
                <w:rFonts w:ascii="Comic Sans MS" w:hAnsi="Comic Sans MS"/>
                <w:sz w:val="20"/>
                <w:szCs w:val="20"/>
              </w:rPr>
              <w:br/>
              <w:t>- Anticorps (Partie constante et Partie variable)</w:t>
            </w:r>
            <w:r>
              <w:rPr>
                <w:rFonts w:ascii="Comic Sans MS" w:hAnsi="Comic Sans MS"/>
                <w:sz w:val="20"/>
                <w:szCs w:val="20"/>
              </w:rPr>
              <w:br/>
              <w:t xml:space="preserve"> Lymphocytes B </w:t>
            </w:r>
          </w:p>
          <w:p w:rsidR="00B22331" w:rsidRDefault="00914EE2" w:rsidP="00FF69C2">
            <w:pPr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Lympocytes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T</w:t>
            </w:r>
            <w:r w:rsidRPr="00914EE2">
              <w:rPr>
                <w:rFonts w:ascii="Comic Sans MS" w:hAnsi="Comic Sans MS"/>
                <w:sz w:val="20"/>
                <w:szCs w:val="20"/>
                <w:vertAlign w:val="subscript"/>
              </w:rPr>
              <w:t>CD8</w:t>
            </w:r>
            <w:r>
              <w:rPr>
                <w:rFonts w:ascii="Comic Sans MS" w:hAnsi="Comic Sans MS"/>
                <w:sz w:val="20"/>
                <w:szCs w:val="20"/>
              </w:rPr>
              <w:t xml:space="preserve"> (cytotoxiques) et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T</w:t>
            </w:r>
            <w:r w:rsidRPr="00914EE2">
              <w:rPr>
                <w:rFonts w:ascii="Comic Sans MS" w:hAnsi="Comic Sans MS"/>
                <w:sz w:val="20"/>
                <w:szCs w:val="20"/>
                <w:vertAlign w:val="subscript"/>
              </w:rPr>
              <w:t>CD4</w:t>
            </w:r>
            <w:r w:rsidRPr="00914EE2">
              <w:rPr>
                <w:rFonts w:ascii="Comic Sans MS" w:hAnsi="Comic Sans MS"/>
                <w:sz w:val="20"/>
                <w:szCs w:val="20"/>
              </w:rPr>
              <w:t>(</w:t>
            </w:r>
            <w:proofErr w:type="gramEnd"/>
            <w:r w:rsidRPr="00914EE2">
              <w:rPr>
                <w:rFonts w:ascii="Comic Sans MS" w:hAnsi="Comic Sans MS"/>
                <w:sz w:val="20"/>
                <w:szCs w:val="20"/>
              </w:rPr>
              <w:t>auxiliaires)</w:t>
            </w:r>
            <w:r w:rsidR="00B22331">
              <w:rPr>
                <w:rFonts w:ascii="Comic Sans MS" w:hAnsi="Comic Sans MS"/>
                <w:sz w:val="20"/>
                <w:szCs w:val="20"/>
              </w:rPr>
              <w:br/>
              <w:t>Diversité des récepteurs des LB</w:t>
            </w:r>
            <w:r w:rsidR="00B22331">
              <w:rPr>
                <w:rFonts w:ascii="Comic Sans MS" w:hAnsi="Comic Sans MS"/>
                <w:sz w:val="16"/>
                <w:szCs w:val="16"/>
              </w:rPr>
              <w:t>( = Anticorps membranaires)</w:t>
            </w:r>
            <w:r>
              <w:rPr>
                <w:rFonts w:ascii="Comic Sans MS" w:hAnsi="Comic Sans MS"/>
                <w:sz w:val="20"/>
                <w:szCs w:val="20"/>
              </w:rPr>
              <w:t xml:space="preserve"> Récepteurs T et CPA</w:t>
            </w:r>
            <w:r w:rsidR="00B22331">
              <w:rPr>
                <w:rFonts w:ascii="Comic Sans MS" w:hAnsi="Comic Sans MS"/>
                <w:sz w:val="20"/>
                <w:szCs w:val="20"/>
              </w:rPr>
              <w:br/>
              <w:t>Clones de LB et sélection clonale</w:t>
            </w:r>
            <w:r w:rsidR="00B22331">
              <w:rPr>
                <w:rFonts w:ascii="Comic Sans MS" w:hAnsi="Comic Sans MS"/>
                <w:sz w:val="20"/>
                <w:szCs w:val="20"/>
              </w:rPr>
              <w:br/>
              <w:t>Plasmocytes</w:t>
            </w:r>
            <w:r w:rsidR="00C323D7">
              <w:rPr>
                <w:rFonts w:ascii="Comic Sans MS" w:hAnsi="Comic Sans MS"/>
                <w:sz w:val="20"/>
                <w:szCs w:val="20"/>
              </w:rPr>
              <w:t> :</w:t>
            </w:r>
            <w:r w:rsidR="00C323D7">
              <w:rPr>
                <w:rFonts w:ascii="Comic Sans MS" w:hAnsi="Comic Sans MS"/>
                <w:sz w:val="16"/>
                <w:szCs w:val="16"/>
              </w:rPr>
              <w:t xml:space="preserve"> cellules effectrices de l'immunité </w:t>
            </w:r>
            <w:r w:rsidR="00FF69C2">
              <w:rPr>
                <w:rFonts w:ascii="Comic Sans MS" w:hAnsi="Comic Sans MS"/>
                <w:sz w:val="16"/>
                <w:szCs w:val="16"/>
              </w:rPr>
              <w:t>adaptative</w:t>
            </w:r>
            <w:r w:rsidR="00B22331">
              <w:rPr>
                <w:rFonts w:ascii="Comic Sans MS" w:hAnsi="Comic Sans MS"/>
                <w:sz w:val="20"/>
                <w:szCs w:val="20"/>
              </w:rPr>
              <w:br/>
            </w:r>
            <w:r>
              <w:rPr>
                <w:rFonts w:ascii="Comic Sans MS" w:hAnsi="Comic Sans MS"/>
                <w:sz w:val="20"/>
                <w:szCs w:val="20"/>
              </w:rPr>
              <w:t>Prolifération</w:t>
            </w:r>
            <w:r w:rsidR="00B22331">
              <w:rPr>
                <w:rFonts w:ascii="Comic Sans MS" w:hAnsi="Comic Sans MS"/>
                <w:sz w:val="20"/>
                <w:szCs w:val="20"/>
              </w:rPr>
              <w:t xml:space="preserve"> et Différenciation cellulaire</w:t>
            </w:r>
            <w:r w:rsidR="00B22331">
              <w:rPr>
                <w:rFonts w:ascii="Comic Sans MS" w:hAnsi="Comic Sans MS"/>
                <w:sz w:val="20"/>
                <w:szCs w:val="20"/>
              </w:rPr>
              <w:br/>
              <w:t>Effecteur</w:t>
            </w:r>
            <w:r>
              <w:rPr>
                <w:rFonts w:ascii="Comic Sans MS" w:hAnsi="Comic Sans MS"/>
                <w:sz w:val="20"/>
                <w:szCs w:val="20"/>
              </w:rPr>
              <w:t>s</w:t>
            </w:r>
            <w:r w:rsidR="00B22331">
              <w:rPr>
                <w:rFonts w:ascii="Comic Sans MS" w:hAnsi="Comic Sans MS"/>
                <w:sz w:val="20"/>
                <w:szCs w:val="20"/>
              </w:rPr>
              <w:t xml:space="preserve"> de l'immunité </w:t>
            </w:r>
            <w:r>
              <w:rPr>
                <w:rFonts w:ascii="Comic Sans MS" w:hAnsi="Comic Sans MS"/>
                <w:sz w:val="20"/>
                <w:szCs w:val="20"/>
              </w:rPr>
              <w:t>adaptative</w:t>
            </w:r>
          </w:p>
        </w:tc>
        <w:tc>
          <w:tcPr>
            <w:tcW w:w="22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69C2" w:rsidRDefault="00B22331" w:rsidP="00FF69C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Complexe immun</w:t>
            </w:r>
            <w:r>
              <w:rPr>
                <w:rFonts w:ascii="Comic Sans MS" w:hAnsi="Comic Sans MS"/>
                <w:sz w:val="20"/>
                <w:szCs w:val="20"/>
              </w:rPr>
              <w:br/>
              <w:t>Phagocytose</w:t>
            </w:r>
            <w:r>
              <w:rPr>
                <w:rFonts w:ascii="Comic Sans MS" w:hAnsi="Comic Sans MS"/>
                <w:sz w:val="20"/>
                <w:szCs w:val="20"/>
              </w:rPr>
              <w:br/>
            </w:r>
            <w:r w:rsidR="00FF69C2">
              <w:rPr>
                <w:rFonts w:ascii="Comic Sans MS" w:hAnsi="Comic Sans MS"/>
                <w:sz w:val="20"/>
                <w:szCs w:val="20"/>
              </w:rPr>
              <w:t>Macrophages</w:t>
            </w:r>
            <w:r>
              <w:rPr>
                <w:rFonts w:ascii="Comic Sans MS" w:hAnsi="Comic Sans MS"/>
                <w:sz w:val="20"/>
                <w:szCs w:val="20"/>
              </w:rPr>
              <w:br/>
              <w:t xml:space="preserve">Les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LTc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, </w:t>
            </w:r>
            <w:r>
              <w:rPr>
                <w:rFonts w:ascii="Comic Sans MS" w:hAnsi="Comic Sans MS"/>
                <w:sz w:val="16"/>
                <w:szCs w:val="16"/>
              </w:rPr>
              <w:t xml:space="preserve">cellules effectrices de l'immunité </w:t>
            </w:r>
            <w:r w:rsidR="00FF69C2">
              <w:rPr>
                <w:rFonts w:ascii="Comic Sans MS" w:hAnsi="Comic Sans MS"/>
                <w:sz w:val="16"/>
                <w:szCs w:val="16"/>
              </w:rPr>
              <w:t>adaptative</w:t>
            </w:r>
            <w:r>
              <w:rPr>
                <w:rFonts w:ascii="Comic Sans MS" w:hAnsi="Comic Sans MS"/>
                <w:sz w:val="20"/>
                <w:szCs w:val="20"/>
              </w:rPr>
              <w:br/>
              <w:t>Interleukines</w:t>
            </w:r>
          </w:p>
          <w:p w:rsidR="00FF69C2" w:rsidRDefault="00FF69C2" w:rsidP="00FF69C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Cytolyse et Apoptose</w:t>
            </w:r>
            <w:r w:rsidR="00B22331">
              <w:rPr>
                <w:rFonts w:ascii="Comic Sans MS" w:hAnsi="Comic Sans MS"/>
                <w:sz w:val="20"/>
                <w:szCs w:val="20"/>
              </w:rPr>
              <w:br/>
            </w:r>
            <w:r>
              <w:rPr>
                <w:rFonts w:ascii="Comic Sans MS" w:hAnsi="Comic Sans MS"/>
                <w:sz w:val="20"/>
                <w:szCs w:val="20"/>
              </w:rPr>
              <w:t>Répertoire immunitaire</w:t>
            </w:r>
          </w:p>
          <w:p w:rsidR="00B22331" w:rsidRDefault="00B22331" w:rsidP="00FF69C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Phénotype immunitaire</w:t>
            </w:r>
            <w:r>
              <w:rPr>
                <w:rFonts w:ascii="Comic Sans MS" w:hAnsi="Comic Sans MS"/>
                <w:sz w:val="20"/>
                <w:szCs w:val="20"/>
              </w:rPr>
              <w:br/>
              <w:t>Interaction entre environnement et génotype</w:t>
            </w:r>
            <w:r>
              <w:rPr>
                <w:rFonts w:ascii="Comic Sans MS" w:hAnsi="Comic Sans MS"/>
                <w:sz w:val="20"/>
                <w:szCs w:val="20"/>
              </w:rPr>
              <w:br/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br/>
            </w:r>
          </w:p>
        </w:tc>
      </w:tr>
    </w:tbl>
    <w:p w:rsidR="00914EE2" w:rsidRDefault="00914EE2" w:rsidP="00914EE2">
      <w:pPr>
        <w:pStyle w:val="Sansinterligne"/>
        <w:rPr>
          <w:b/>
          <w:bCs/>
        </w:rPr>
      </w:pPr>
    </w:p>
    <w:p w:rsidR="00914EE2" w:rsidRDefault="00B22331" w:rsidP="00914EE2">
      <w:pPr>
        <w:pStyle w:val="Sansinterligne"/>
        <w:rPr>
          <w:b/>
          <w:bCs/>
        </w:rPr>
      </w:pPr>
      <w:r>
        <w:rPr>
          <w:b/>
          <w:bCs/>
        </w:rPr>
        <w:t>Savoir et savoir-faire à maîtriser</w:t>
      </w:r>
    </w:p>
    <w:p w:rsidR="00FF69C2" w:rsidRDefault="00FF69C2" w:rsidP="00914EE2">
      <w:pPr>
        <w:pStyle w:val="Sansinterligne"/>
        <w:rPr>
          <w:b/>
          <w:bCs/>
        </w:rPr>
      </w:pPr>
      <w:r>
        <w:rPr>
          <w:rFonts w:ascii="Comic Sans MS" w:hAnsi="Comic Sans MS"/>
          <w:color w:val="008000"/>
          <w:sz w:val="20"/>
          <w:szCs w:val="20"/>
        </w:rPr>
        <w:t xml:space="preserve">Les Lymphocytes B : Cellules </w:t>
      </w:r>
      <w:proofErr w:type="spellStart"/>
      <w:r>
        <w:rPr>
          <w:rFonts w:ascii="Comic Sans MS" w:hAnsi="Comic Sans MS"/>
          <w:color w:val="008000"/>
          <w:sz w:val="20"/>
          <w:szCs w:val="20"/>
        </w:rPr>
        <w:t>immuno-cempétentes</w:t>
      </w:r>
      <w:proofErr w:type="spellEnd"/>
      <w:r>
        <w:rPr>
          <w:rFonts w:ascii="Comic Sans MS" w:hAnsi="Comic Sans MS"/>
          <w:color w:val="008000"/>
          <w:sz w:val="20"/>
          <w:szCs w:val="20"/>
        </w:rPr>
        <w:t xml:space="preserve"> de la réaction immunitaire à médiation humorale</w:t>
      </w:r>
    </w:p>
    <w:p w:rsidR="00914EE2" w:rsidRDefault="00B22331" w:rsidP="00914EE2">
      <w:pPr>
        <w:pStyle w:val="Sansinterlign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 w:rsidRPr="00914EE2">
        <w:rPr>
          <w:rFonts w:ascii="Comic Sans MS" w:hAnsi="Comic Sans MS"/>
          <w:sz w:val="22"/>
          <w:szCs w:val="22"/>
        </w:rPr>
        <w:t xml:space="preserve">Savoir expliquer la reconnaissance </w:t>
      </w:r>
      <w:r w:rsidR="00914EE2">
        <w:rPr>
          <w:rFonts w:ascii="Comic Sans MS" w:hAnsi="Comic Sans MS"/>
          <w:sz w:val="22"/>
          <w:szCs w:val="22"/>
        </w:rPr>
        <w:t>de l'antigène par l'anticorps.</w:t>
      </w:r>
    </w:p>
    <w:p w:rsidR="003A1266" w:rsidRPr="003A1266" w:rsidRDefault="003A1266" w:rsidP="003A1266">
      <w:pPr>
        <w:pStyle w:val="Sansinterligne"/>
        <w:numPr>
          <w:ilvl w:val="0"/>
          <w:numId w:val="8"/>
        </w:numPr>
        <w:rPr>
          <w:rFonts w:ascii="Comic Sans MS" w:hAnsi="Comic Sans MS"/>
          <w:i/>
          <w:sz w:val="22"/>
          <w:szCs w:val="22"/>
        </w:rPr>
      </w:pPr>
      <w:r w:rsidRPr="003A1266">
        <w:rPr>
          <w:rFonts w:ascii="Comic Sans MS" w:hAnsi="Comic Sans MS"/>
          <w:i/>
          <w:sz w:val="22"/>
          <w:szCs w:val="22"/>
        </w:rPr>
        <w:t xml:space="preserve">TP : </w:t>
      </w:r>
      <w:proofErr w:type="spellStart"/>
      <w:r w:rsidRPr="003A1266">
        <w:rPr>
          <w:rFonts w:ascii="Comic Sans MS" w:hAnsi="Comic Sans MS"/>
          <w:i/>
          <w:sz w:val="22"/>
          <w:szCs w:val="22"/>
        </w:rPr>
        <w:t>Rasmol</w:t>
      </w:r>
      <w:proofErr w:type="spellEnd"/>
      <w:r w:rsidRPr="003A1266">
        <w:rPr>
          <w:rFonts w:ascii="Comic Sans MS" w:hAnsi="Comic Sans MS"/>
          <w:i/>
          <w:sz w:val="22"/>
          <w:szCs w:val="22"/>
        </w:rPr>
        <w:t> : structure en 3D d’un anticorps</w:t>
      </w:r>
    </w:p>
    <w:p w:rsidR="003A1266" w:rsidRDefault="00914EE2" w:rsidP="00914EE2">
      <w:pPr>
        <w:pStyle w:val="Sansinterlign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 w:rsidRPr="00914EE2">
        <w:rPr>
          <w:rFonts w:ascii="Comic Sans MS" w:hAnsi="Comic Sans MS"/>
          <w:sz w:val="22"/>
          <w:szCs w:val="22"/>
        </w:rPr>
        <w:t xml:space="preserve">Savoir décrire une molécule d'anticorps (texte et schéma). </w:t>
      </w:r>
    </w:p>
    <w:p w:rsidR="00914EE2" w:rsidRPr="00914EE2" w:rsidRDefault="00914EE2" w:rsidP="00914EE2">
      <w:pPr>
        <w:pStyle w:val="NormalWeb"/>
        <w:numPr>
          <w:ilvl w:val="0"/>
          <w:numId w:val="8"/>
        </w:numPr>
        <w:rPr>
          <w:rFonts w:ascii="Comic Sans MS" w:hAnsi="Comic Sans MS"/>
          <w:i/>
          <w:sz w:val="20"/>
          <w:szCs w:val="20"/>
        </w:rPr>
      </w:pPr>
      <w:r w:rsidRPr="003A1266">
        <w:rPr>
          <w:rFonts w:ascii="Comic Sans MS" w:hAnsi="Comic Sans MS"/>
          <w:bCs/>
          <w:i/>
          <w:sz w:val="20"/>
          <w:szCs w:val="20"/>
        </w:rPr>
        <w:t xml:space="preserve">TP </w:t>
      </w:r>
      <w:proofErr w:type="spellStart"/>
      <w:r w:rsidRPr="003A1266">
        <w:rPr>
          <w:rFonts w:ascii="Comic Sans MS" w:hAnsi="Comic Sans MS"/>
          <w:bCs/>
          <w:i/>
          <w:sz w:val="20"/>
          <w:szCs w:val="20"/>
        </w:rPr>
        <w:t>Mesurim</w:t>
      </w:r>
      <w:proofErr w:type="spellEnd"/>
      <w:r w:rsidRPr="003A1266">
        <w:rPr>
          <w:rFonts w:ascii="Comic Sans MS" w:hAnsi="Comic Sans MS"/>
          <w:bCs/>
          <w:i/>
          <w:sz w:val="20"/>
          <w:szCs w:val="20"/>
        </w:rPr>
        <w:t>-</w:t>
      </w:r>
      <w:r w:rsidRPr="00914EE2">
        <w:rPr>
          <w:rFonts w:ascii="Comic Sans MS" w:hAnsi="Comic Sans MS"/>
          <w:i/>
          <w:sz w:val="20"/>
          <w:szCs w:val="20"/>
        </w:rPr>
        <w:t>lecture de profil</w:t>
      </w:r>
      <w:r w:rsidR="003A1266">
        <w:rPr>
          <w:rFonts w:ascii="Comic Sans MS" w:hAnsi="Comic Sans MS"/>
          <w:i/>
          <w:sz w:val="20"/>
          <w:szCs w:val="20"/>
        </w:rPr>
        <w:t>s</w:t>
      </w:r>
      <w:r w:rsidRPr="00914EE2">
        <w:rPr>
          <w:rFonts w:ascii="Comic Sans MS" w:hAnsi="Comic Sans MS"/>
          <w:i/>
          <w:sz w:val="20"/>
          <w:szCs w:val="20"/>
        </w:rPr>
        <w:t xml:space="preserve"> d’électrophorèse.</w:t>
      </w:r>
    </w:p>
    <w:p w:rsidR="00914EE2" w:rsidRPr="00FF69C2" w:rsidRDefault="00FF69C2" w:rsidP="00914EE2">
      <w:pPr>
        <w:pStyle w:val="Sansinterlign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 w:rsidRPr="00660654">
        <w:rPr>
          <w:rFonts w:ascii="Comic Sans MS" w:hAnsi="Comic Sans MS"/>
          <w:i/>
          <w:sz w:val="20"/>
          <w:szCs w:val="20"/>
        </w:rPr>
        <w:t>TP : Test d’</w:t>
      </w:r>
      <w:proofErr w:type="spellStart"/>
      <w:r w:rsidRPr="00660654">
        <w:rPr>
          <w:rFonts w:ascii="Comic Sans MS" w:hAnsi="Comic Sans MS"/>
          <w:i/>
          <w:sz w:val="20"/>
          <w:szCs w:val="20"/>
        </w:rPr>
        <w:t>ouchterlony</w:t>
      </w:r>
      <w:proofErr w:type="spellEnd"/>
    </w:p>
    <w:p w:rsidR="00FF69C2" w:rsidRPr="00914EE2" w:rsidRDefault="00FF69C2" w:rsidP="00FF69C2">
      <w:pPr>
        <w:pStyle w:val="Sansinterlign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0"/>
          <w:szCs w:val="20"/>
        </w:rPr>
        <w:t>Connaître l'origine de la production des anticorps.</w:t>
      </w:r>
    </w:p>
    <w:p w:rsidR="00FF69C2" w:rsidRPr="00FF69C2" w:rsidRDefault="00FF69C2" w:rsidP="00914EE2">
      <w:pPr>
        <w:pStyle w:val="Sansinterlign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0"/>
          <w:szCs w:val="20"/>
        </w:rPr>
        <w:lastRenderedPageBreak/>
        <w:t>Connaître les conséquences de la reconnaissance d'un antigène par un anticorps en se montrant capable d'énumérer chronologiquement les différentes étapes de la réponse immunitaire où interviennent des LB.</w:t>
      </w:r>
    </w:p>
    <w:p w:rsidR="00FF69C2" w:rsidRPr="00FF69C2" w:rsidRDefault="00FF69C2" w:rsidP="00914EE2">
      <w:pPr>
        <w:pStyle w:val="Sansinterlign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0"/>
          <w:szCs w:val="20"/>
        </w:rPr>
        <w:t>Connaître le rôle des anticorps circulants et des cellules phagocytaires dans la phase effectrice de la réponse immunitaire</w:t>
      </w:r>
      <w:proofErr w:type="gramStart"/>
      <w:r>
        <w:rPr>
          <w:rFonts w:ascii="Comic Sans MS" w:hAnsi="Comic Sans MS"/>
          <w:sz w:val="20"/>
          <w:szCs w:val="20"/>
        </w:rPr>
        <w:t>.</w:t>
      </w:r>
      <w:r w:rsidR="003A1266">
        <w:rPr>
          <w:rFonts w:ascii="Comic Sans MS" w:hAnsi="Comic Sans MS"/>
          <w:sz w:val="20"/>
          <w:szCs w:val="20"/>
        </w:rPr>
        <w:t>(</w:t>
      </w:r>
      <w:proofErr w:type="gramEnd"/>
      <w:r w:rsidR="003A1266">
        <w:rPr>
          <w:rFonts w:ascii="Comic Sans MS" w:hAnsi="Comic Sans MS"/>
          <w:sz w:val="20"/>
          <w:szCs w:val="20"/>
        </w:rPr>
        <w:t>devenir du complexe immun)</w:t>
      </w:r>
    </w:p>
    <w:p w:rsidR="00B22331" w:rsidRPr="00FF69C2" w:rsidRDefault="00FF69C2" w:rsidP="00660654">
      <w:pPr>
        <w:pStyle w:val="Sansinterlign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0"/>
          <w:szCs w:val="20"/>
        </w:rPr>
        <w:t>Connaître les cellules de l'immunité suivantes : LB, plasmocytes, macrophages, granulocytes (polynucléaires)</w:t>
      </w:r>
    </w:p>
    <w:p w:rsidR="00FF69C2" w:rsidRDefault="00B22331" w:rsidP="00FF69C2">
      <w:pPr>
        <w:pStyle w:val="NormalWeb"/>
        <w:rPr>
          <w:rFonts w:ascii="Comic Sans MS" w:hAnsi="Comic Sans MS"/>
          <w:color w:val="008000"/>
          <w:sz w:val="20"/>
          <w:szCs w:val="20"/>
        </w:rPr>
      </w:pPr>
      <w:r>
        <w:rPr>
          <w:rFonts w:ascii="Comic Sans MS" w:hAnsi="Comic Sans MS"/>
          <w:color w:val="008000"/>
          <w:sz w:val="20"/>
          <w:szCs w:val="20"/>
        </w:rPr>
        <w:t>Les LTc</w:t>
      </w:r>
      <w:r w:rsidR="003A1266" w:rsidRPr="003A1266">
        <w:rPr>
          <w:rFonts w:ascii="Comic Sans MS" w:hAnsi="Comic Sans MS"/>
          <w:color w:val="008000"/>
          <w:sz w:val="20"/>
          <w:szCs w:val="20"/>
          <w:vertAlign w:val="subscript"/>
        </w:rPr>
        <w:t>D8</w:t>
      </w:r>
      <w:r>
        <w:rPr>
          <w:rFonts w:ascii="Comic Sans MS" w:hAnsi="Comic Sans MS"/>
          <w:color w:val="008000"/>
          <w:sz w:val="20"/>
          <w:szCs w:val="20"/>
        </w:rPr>
        <w:t xml:space="preserve"> : </w:t>
      </w:r>
      <w:r w:rsidR="00FF69C2">
        <w:rPr>
          <w:rFonts w:ascii="Comic Sans MS" w:hAnsi="Comic Sans MS"/>
          <w:color w:val="008000"/>
          <w:sz w:val="20"/>
          <w:szCs w:val="20"/>
        </w:rPr>
        <w:t xml:space="preserve">Cellules </w:t>
      </w:r>
      <w:proofErr w:type="spellStart"/>
      <w:r w:rsidR="00FF69C2">
        <w:rPr>
          <w:rFonts w:ascii="Comic Sans MS" w:hAnsi="Comic Sans MS"/>
          <w:color w:val="008000"/>
          <w:sz w:val="20"/>
          <w:szCs w:val="20"/>
        </w:rPr>
        <w:t>immuno-cempétentes</w:t>
      </w:r>
      <w:proofErr w:type="spellEnd"/>
      <w:r w:rsidR="00FF69C2">
        <w:rPr>
          <w:rFonts w:ascii="Comic Sans MS" w:hAnsi="Comic Sans MS"/>
          <w:color w:val="008000"/>
          <w:sz w:val="20"/>
          <w:szCs w:val="20"/>
        </w:rPr>
        <w:t xml:space="preserve"> de la réaction immunitaire à médiation cellulaire.</w:t>
      </w:r>
    </w:p>
    <w:p w:rsidR="00FF69C2" w:rsidRDefault="00FF69C2" w:rsidP="00FF69C2">
      <w:pPr>
        <w:pStyle w:val="Sansinterligne"/>
        <w:numPr>
          <w:ilvl w:val="0"/>
          <w:numId w:val="9"/>
        </w:numPr>
        <w:jc w:val="both"/>
        <w:rPr>
          <w:rFonts w:ascii="Comic Sans MS" w:hAnsi="Comic Sans MS"/>
          <w:sz w:val="22"/>
          <w:szCs w:val="22"/>
        </w:rPr>
      </w:pPr>
      <w:r w:rsidRPr="00914EE2">
        <w:rPr>
          <w:rFonts w:ascii="Comic Sans MS" w:hAnsi="Comic Sans MS"/>
          <w:sz w:val="22"/>
          <w:szCs w:val="22"/>
        </w:rPr>
        <w:t>Savoir distinguer les deux modes d’action des récepteurs T et des anticorps membranaires des Lymphocytes B.</w:t>
      </w:r>
    </w:p>
    <w:p w:rsidR="00FF69C2" w:rsidRPr="00FF69C2" w:rsidRDefault="00FF69C2" w:rsidP="00FF69C2">
      <w:pPr>
        <w:pStyle w:val="Sansinterligne"/>
        <w:numPr>
          <w:ilvl w:val="0"/>
          <w:numId w:val="9"/>
        </w:num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Comprendre ce qu’est et le rôle d’une CPA</w:t>
      </w:r>
    </w:p>
    <w:p w:rsidR="00FF69C2" w:rsidRDefault="00FF69C2" w:rsidP="00FF69C2">
      <w:pPr>
        <w:pStyle w:val="NormalWeb"/>
        <w:numPr>
          <w:ilvl w:val="0"/>
          <w:numId w:val="9"/>
        </w:numPr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énumérer chronologiquement les étapes de la réponse immunitaire où interviennent les LTc.</w:t>
      </w:r>
    </w:p>
    <w:p w:rsidR="00FF69C2" w:rsidRDefault="00FF69C2" w:rsidP="00FF69C2">
      <w:pPr>
        <w:pStyle w:val="NormalWeb"/>
        <w:numPr>
          <w:ilvl w:val="0"/>
          <w:numId w:val="9"/>
        </w:numPr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distinguer les rôles respectifs des LB et des LTc dans l'accomplissement de la réponse immunitaire.</w:t>
      </w:r>
    </w:p>
    <w:p w:rsidR="00B22331" w:rsidRPr="00FF69C2" w:rsidRDefault="00B22331" w:rsidP="00FF69C2">
      <w:pPr>
        <w:pStyle w:val="NormalWeb"/>
        <w:jc w:val="both"/>
        <w:rPr>
          <w:rFonts w:ascii="Comic Sans MS" w:hAnsi="Comic Sans MS"/>
          <w:sz w:val="20"/>
          <w:szCs w:val="20"/>
        </w:rPr>
      </w:pPr>
      <w:r w:rsidRPr="00FF69C2">
        <w:rPr>
          <w:rFonts w:ascii="Comic Sans MS" w:hAnsi="Comic Sans MS"/>
          <w:color w:val="008000"/>
          <w:sz w:val="20"/>
          <w:szCs w:val="20"/>
        </w:rPr>
        <w:t>Les LT</w:t>
      </w:r>
      <w:r w:rsidR="003A1266" w:rsidRPr="003A1266">
        <w:rPr>
          <w:rFonts w:ascii="Comic Sans MS" w:hAnsi="Comic Sans MS"/>
          <w:color w:val="008000"/>
          <w:sz w:val="20"/>
          <w:szCs w:val="20"/>
          <w:vertAlign w:val="subscript"/>
        </w:rPr>
        <w:t>CD4</w:t>
      </w:r>
      <w:r w:rsidRPr="003A1266">
        <w:rPr>
          <w:rFonts w:ascii="Comic Sans MS" w:hAnsi="Comic Sans MS"/>
          <w:color w:val="008000"/>
          <w:sz w:val="20"/>
          <w:szCs w:val="20"/>
          <w:vertAlign w:val="subscript"/>
        </w:rPr>
        <w:t xml:space="preserve"> </w:t>
      </w:r>
      <w:r w:rsidRPr="00FF69C2">
        <w:rPr>
          <w:rFonts w:ascii="Comic Sans MS" w:hAnsi="Comic Sans MS"/>
          <w:color w:val="008000"/>
          <w:sz w:val="20"/>
          <w:szCs w:val="20"/>
        </w:rPr>
        <w:t>: pivots des réactions immunitaires acquises·</w:t>
      </w:r>
    </w:p>
    <w:p w:rsidR="003A1266" w:rsidRDefault="00B22331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.Citer les étapes précédant leur différenciation.</w:t>
      </w:r>
      <w:r>
        <w:rPr>
          <w:rFonts w:ascii="Comic Sans MS" w:hAnsi="Comic Sans MS"/>
          <w:sz w:val="20"/>
          <w:szCs w:val="20"/>
        </w:rPr>
        <w:br/>
        <w:t>·Savoir expliquer le rôle pivot des LT</w:t>
      </w:r>
      <w:r w:rsidR="00FF69C2" w:rsidRPr="00FF69C2">
        <w:rPr>
          <w:rFonts w:ascii="Comic Sans MS" w:hAnsi="Comic Sans MS"/>
          <w:sz w:val="20"/>
          <w:szCs w:val="20"/>
          <w:vertAlign w:val="subscript"/>
        </w:rPr>
        <w:t>CD4</w:t>
      </w:r>
      <w:r>
        <w:rPr>
          <w:rFonts w:ascii="Comic Sans MS" w:hAnsi="Comic Sans MS"/>
          <w:sz w:val="20"/>
          <w:szCs w:val="20"/>
        </w:rPr>
        <w:t>.</w:t>
      </w:r>
    </w:p>
    <w:p w:rsidR="00B22331" w:rsidRDefault="003A1266" w:rsidP="003A1266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.Connaître les phases d’infection du VIH au sein des cellules </w:t>
      </w:r>
      <w:proofErr w:type="gramStart"/>
      <w:r>
        <w:rPr>
          <w:rFonts w:ascii="Comic Sans MS" w:hAnsi="Comic Sans MS"/>
          <w:sz w:val="20"/>
          <w:szCs w:val="20"/>
        </w:rPr>
        <w:t>cibles</w:t>
      </w:r>
      <w:proofErr w:type="gramEnd"/>
      <w:r>
        <w:rPr>
          <w:rFonts w:ascii="Comic Sans MS" w:hAnsi="Comic Sans MS"/>
          <w:sz w:val="20"/>
          <w:szCs w:val="20"/>
        </w:rPr>
        <w:t>.</w:t>
      </w:r>
      <w:r w:rsidR="00B22331">
        <w:rPr>
          <w:rFonts w:ascii="Comic Sans MS" w:hAnsi="Comic Sans MS"/>
          <w:sz w:val="20"/>
          <w:szCs w:val="20"/>
        </w:rPr>
        <w:br/>
        <w:t>·Savoir expliquer l'origine des maladies opportunistes dans le cas du SIDA.</w:t>
      </w:r>
    </w:p>
    <w:p w:rsidR="00B22331" w:rsidRDefault="00B22331">
      <w:pPr>
        <w:rPr>
          <w:rFonts w:ascii="Comic Sans MS" w:hAnsi="Comic Sans MS"/>
          <w:sz w:val="20"/>
          <w:szCs w:val="20"/>
        </w:rPr>
      </w:pPr>
    </w:p>
    <w:p w:rsidR="00B22331" w:rsidRDefault="00B22331" w:rsidP="00B22331">
      <w:pPr>
        <w:numPr>
          <w:ilvl w:val="0"/>
          <w:numId w:val="5"/>
        </w:numPr>
        <w:tabs>
          <w:tab w:val="clear" w:pos="720"/>
          <w:tab w:val="num" w:pos="-342"/>
        </w:tabs>
        <w:ind w:left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color w:val="008000"/>
          <w:sz w:val="20"/>
          <w:szCs w:val="20"/>
        </w:rPr>
        <w:t>Les vaccins et la mémoire immunitaire</w:t>
      </w:r>
      <w:r>
        <w:rPr>
          <w:rFonts w:ascii="Comic Sans MS" w:hAnsi="Comic Sans MS"/>
          <w:sz w:val="20"/>
          <w:szCs w:val="20"/>
        </w:rPr>
        <w:t>·</w:t>
      </w:r>
    </w:p>
    <w:p w:rsidR="00B22331" w:rsidRDefault="00B22331">
      <w:pPr>
        <w:tabs>
          <w:tab w:val="num" w:pos="-342"/>
        </w:tabs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.Savoir expliquer</w:t>
      </w:r>
      <w:r w:rsidR="003A1266">
        <w:rPr>
          <w:rFonts w:ascii="Comic Sans MS" w:hAnsi="Comic Sans MS"/>
          <w:sz w:val="20"/>
          <w:szCs w:val="20"/>
        </w:rPr>
        <w:t xml:space="preserve"> le principe de la vaccination.</w:t>
      </w:r>
    </w:p>
    <w:p w:rsidR="00B22331" w:rsidRDefault="00B22331" w:rsidP="00B22331">
      <w:pPr>
        <w:pStyle w:val="NormalWeb"/>
        <w:numPr>
          <w:ilvl w:val="0"/>
          <w:numId w:val="5"/>
        </w:numPr>
        <w:tabs>
          <w:tab w:val="clear" w:pos="720"/>
          <w:tab w:val="num" w:pos="57"/>
        </w:tabs>
        <w:ind w:left="0"/>
        <w:rPr>
          <w:rFonts w:ascii="Comic Sans MS" w:hAnsi="Comic Sans MS"/>
          <w:color w:val="008000"/>
          <w:sz w:val="20"/>
          <w:szCs w:val="20"/>
        </w:rPr>
      </w:pPr>
      <w:r>
        <w:rPr>
          <w:rFonts w:ascii="Comic Sans MS" w:hAnsi="Comic Sans MS"/>
          <w:color w:val="008000"/>
          <w:sz w:val="20"/>
          <w:szCs w:val="20"/>
        </w:rPr>
        <w:t>Interaction entre génotype et environnement.</w:t>
      </w:r>
    </w:p>
    <w:p w:rsidR="00B22331" w:rsidRDefault="00B22331">
      <w:r>
        <w:rPr>
          <w:rFonts w:ascii="Comic Sans MS" w:hAnsi="Comic Sans MS"/>
          <w:sz w:val="20"/>
          <w:szCs w:val="20"/>
        </w:rPr>
        <w:t>·Savoir ce qu'est le répertoire immunologique.</w:t>
      </w:r>
      <w:r>
        <w:rPr>
          <w:rFonts w:ascii="Comic Sans MS" w:hAnsi="Comic Sans MS"/>
          <w:sz w:val="20"/>
          <w:szCs w:val="20"/>
        </w:rPr>
        <w:br/>
        <w:t>·Savoir expliquer la variabilité du répertoire dans la vie d'un individu.</w:t>
      </w:r>
      <w:r>
        <w:rPr>
          <w:rFonts w:ascii="Comic Sans MS" w:hAnsi="Comic Sans MS"/>
          <w:sz w:val="20"/>
          <w:szCs w:val="20"/>
        </w:rPr>
        <w:br/>
        <w:t>·Savoir expliquer l'origine du répertoire</w:t>
      </w:r>
      <w:r w:rsidR="00FF69C2">
        <w:rPr>
          <w:rFonts w:ascii="Comic Sans MS" w:hAnsi="Comic Sans MS"/>
          <w:sz w:val="20"/>
          <w:szCs w:val="20"/>
        </w:rPr>
        <w:t>.</w:t>
      </w:r>
    </w:p>
    <w:sectPr w:rsidR="00B2233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27261"/>
    <w:multiLevelType w:val="hybridMultilevel"/>
    <w:tmpl w:val="61EE72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90B4F"/>
    <w:multiLevelType w:val="hybridMultilevel"/>
    <w:tmpl w:val="27D8F4AC"/>
    <w:lvl w:ilvl="0" w:tplc="040C0007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2282246"/>
    <w:multiLevelType w:val="hybridMultilevel"/>
    <w:tmpl w:val="6FFC8330"/>
    <w:lvl w:ilvl="0" w:tplc="040C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A535A7F"/>
    <w:multiLevelType w:val="hybridMultilevel"/>
    <w:tmpl w:val="FF1C76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D77F68"/>
    <w:multiLevelType w:val="hybridMultilevel"/>
    <w:tmpl w:val="9E801A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134C88"/>
    <w:multiLevelType w:val="hybridMultilevel"/>
    <w:tmpl w:val="827402FE"/>
    <w:lvl w:ilvl="0" w:tplc="040C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76532A1"/>
    <w:multiLevelType w:val="hybridMultilevel"/>
    <w:tmpl w:val="0C0A1B28"/>
    <w:lvl w:ilvl="0" w:tplc="040C0007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BAF09A2"/>
    <w:multiLevelType w:val="hybridMultilevel"/>
    <w:tmpl w:val="677804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2F4C10"/>
    <w:multiLevelType w:val="hybridMultilevel"/>
    <w:tmpl w:val="9AFEA1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2768A9"/>
    <w:multiLevelType w:val="hybridMultilevel"/>
    <w:tmpl w:val="11D4455C"/>
    <w:lvl w:ilvl="0" w:tplc="040C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4"/>
  </w:num>
  <w:num w:numId="9">
    <w:abstractNumId w:val="3"/>
  </w:num>
  <w:num w:numId="10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654"/>
    <w:rsid w:val="003A1266"/>
    <w:rsid w:val="004B3345"/>
    <w:rsid w:val="00660654"/>
    <w:rsid w:val="0069091C"/>
    <w:rsid w:val="007C24CD"/>
    <w:rsid w:val="00914EE2"/>
    <w:rsid w:val="009643E8"/>
    <w:rsid w:val="00977691"/>
    <w:rsid w:val="00A310BC"/>
    <w:rsid w:val="00B22331"/>
    <w:rsid w:val="00B611FA"/>
    <w:rsid w:val="00C323D7"/>
    <w:rsid w:val="00FF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  <w:autoSpaceDE w:val="0"/>
      <w:autoSpaceDN w:val="0"/>
    </w:pPr>
  </w:style>
  <w:style w:type="paragraph" w:styleId="Retraitcorpsdetexte2">
    <w:name w:val="Body Text Indent 2"/>
    <w:basedOn w:val="Normal"/>
    <w:semiHidden/>
    <w:pPr>
      <w:spacing w:after="120" w:line="480" w:lineRule="auto"/>
      <w:ind w:left="283"/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paragraph" w:styleId="Sansinterligne">
    <w:name w:val="No Spacing"/>
    <w:uiPriority w:val="1"/>
    <w:qFormat/>
    <w:rsid w:val="00914EE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  <w:autoSpaceDE w:val="0"/>
      <w:autoSpaceDN w:val="0"/>
    </w:pPr>
  </w:style>
  <w:style w:type="paragraph" w:styleId="Retraitcorpsdetexte2">
    <w:name w:val="Body Text Indent 2"/>
    <w:basedOn w:val="Normal"/>
    <w:semiHidden/>
    <w:pPr>
      <w:spacing w:after="120" w:line="480" w:lineRule="auto"/>
      <w:ind w:left="283"/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paragraph" w:styleId="Sansinterligne">
    <w:name w:val="No Spacing"/>
    <w:uiPriority w:val="1"/>
    <w:qFormat/>
    <w:rsid w:val="00914EE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604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La convergence lithosphérique et ses effets</vt:lpstr>
    </vt:vector>
  </TitlesOfParts>
  <Company>Lycée Saint Gabriel</Company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convergence lithosphérique et ses effets</dc:title>
  <dc:creator>mgrolleau</dc:creator>
  <cp:lastModifiedBy>h</cp:lastModifiedBy>
  <cp:revision>2</cp:revision>
  <dcterms:created xsi:type="dcterms:W3CDTF">2018-05-07T15:46:00Z</dcterms:created>
  <dcterms:modified xsi:type="dcterms:W3CDTF">2018-05-07T15:46:00Z</dcterms:modified>
</cp:coreProperties>
</file>