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0EC" w:rsidRDefault="00C92628" w:rsidP="009C40EC">
      <w:pPr>
        <w:pStyle w:val="Titre3"/>
        <w:jc w:val="center"/>
      </w:pPr>
      <w:bookmarkStart w:id="0" w:name="_GoBack"/>
      <w:bookmarkEnd w:id="0"/>
      <w:r>
        <w:t>Thème 2</w:t>
      </w:r>
      <w:r w:rsidR="009C40EC">
        <w:t xml:space="preserve"> : </w:t>
      </w:r>
      <w:r>
        <w:t>Glycémie et diabète</w:t>
      </w:r>
    </w:p>
    <w:p w:rsidR="009C40EC" w:rsidRDefault="009C40EC" w:rsidP="009C40EC"/>
    <w:p w:rsidR="00C92628" w:rsidRDefault="00C92628" w:rsidP="00C92628"/>
    <w:p w:rsidR="00C92628" w:rsidRDefault="00C92628" w:rsidP="00C92628">
      <w:pPr>
        <w:pStyle w:val="Pieddepage"/>
        <w:tabs>
          <w:tab w:val="left" w:pos="708"/>
        </w:tabs>
        <w:autoSpaceDE/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4– La catalyse enzymatique</w:t>
      </w:r>
    </w:p>
    <w:p w:rsidR="00C92628" w:rsidRDefault="00C92628" w:rsidP="00C92628">
      <w:pPr>
        <w:pStyle w:val="Pieddepage"/>
        <w:tabs>
          <w:tab w:val="left" w:pos="708"/>
        </w:tabs>
        <w:autoSpaceDE/>
        <w:jc w:val="center"/>
        <w:rPr>
          <w:rFonts w:ascii="Comic Sans MS" w:hAnsi="Comic Sans MS"/>
          <w:sz w:val="20"/>
          <w:szCs w:val="20"/>
        </w:rPr>
      </w:pPr>
    </w:p>
    <w:p w:rsidR="00C92628" w:rsidRDefault="00C92628" w:rsidP="00C92628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pPr w:leftFromText="141" w:rightFromText="141" w:vertAnchor="text" w:horzAnchor="margin" w:tblpXSpec="center" w:tblpY="230"/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6"/>
        <w:gridCol w:w="4394"/>
      </w:tblGrid>
      <w:tr w:rsidR="00C92628" w:rsidTr="00C92628">
        <w:trPr>
          <w:trHeight w:val="1126"/>
        </w:trPr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28" w:rsidRDefault="00C9262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Enzyme ; digestion in vitro ; </w:t>
            </w:r>
          </w:p>
          <w:p w:rsidR="00C92628" w:rsidRDefault="00C9262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classification simple des glucides ;</w:t>
            </w:r>
          </w:p>
          <w:p w:rsidR="00C92628" w:rsidRDefault="00C9262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hydrolyse ;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28" w:rsidRDefault="00C9262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catalyseur biologique ; double spécificité ; site actif (site catalytique-site de fixation) cinétique enzymatique ; conditions optimales ; vitesse initiale (Vi) ;  complexe enzyme-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subsrat</w:t>
            </w:r>
            <w:proofErr w:type="spellEnd"/>
          </w:p>
        </w:tc>
      </w:tr>
    </w:tbl>
    <w:p w:rsidR="00C92628" w:rsidRDefault="00C92628" w:rsidP="00C92628">
      <w:pPr>
        <w:pStyle w:val="Pieddepage"/>
        <w:tabs>
          <w:tab w:val="left" w:pos="708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</w:p>
    <w:p w:rsidR="00C92628" w:rsidRDefault="00C92628" w:rsidP="00C92628">
      <w:pPr>
        <w:pStyle w:val="Pieddepage"/>
        <w:tabs>
          <w:tab w:val="left" w:pos="708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</w:p>
    <w:p w:rsidR="00C92628" w:rsidRDefault="00C92628" w:rsidP="00C92628">
      <w:pPr>
        <w:pStyle w:val="Pieddepage"/>
        <w:tabs>
          <w:tab w:val="left" w:pos="708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  <w:r>
        <w:rPr>
          <w:rFonts w:ascii="Comic Sans MS" w:hAnsi="Comic Sans MS" w:cs="Arial"/>
          <w:b/>
          <w:bCs/>
          <w:sz w:val="20"/>
          <w:szCs w:val="20"/>
        </w:rPr>
        <w:t>Savoir et savoir-faire à connaître ou maîtriser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le rôle général des enzymes dans l’organisme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TP : Mettre en évidence les conditions d’action d’une enzyme (amylase)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écrire une réaction d’hydrolyse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les propriétés des catalyseurs biologiques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Connaître la nature moléculaire d’une enzyme</w:t>
      </w:r>
    </w:p>
    <w:p w:rsidR="00C92628" w:rsidRP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i/>
          <w:sz w:val="20"/>
          <w:szCs w:val="20"/>
        </w:rPr>
      </w:pPr>
      <w:r w:rsidRPr="00C92628">
        <w:rPr>
          <w:rFonts w:ascii="Comic Sans MS" w:hAnsi="Comic Sans MS"/>
          <w:i/>
          <w:sz w:val="20"/>
          <w:szCs w:val="20"/>
        </w:rPr>
        <w:t>TP : Maîtriser l’EXAO pour mettre en évidence les facteurs de variation de la cinétique enzymatique</w:t>
      </w:r>
      <w:r>
        <w:rPr>
          <w:rFonts w:ascii="Comic Sans MS" w:hAnsi="Comic Sans MS"/>
          <w:i/>
          <w:sz w:val="20"/>
          <w:szCs w:val="20"/>
        </w:rPr>
        <w:t xml:space="preserve"> (glucose-oxydase)</w:t>
      </w:r>
    </w:p>
    <w:p w:rsidR="00C92628" w:rsidRDefault="00C92628" w:rsidP="00C92628">
      <w:pPr>
        <w:numPr>
          <w:ilvl w:val="0"/>
          <w:numId w:val="3"/>
        </w:numPr>
        <w:jc w:val="both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TP : Savoir calculer la vitesse initiale d’une enzyme à partir d’un calcul de pente.</w:t>
      </w:r>
    </w:p>
    <w:p w:rsidR="00C92628" w:rsidRDefault="00C92628" w:rsidP="00C92628">
      <w:pPr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mode d’action d’une enzyme : E+S</w:t>
      </w:r>
      <w:r>
        <w:rPr>
          <w:rFonts w:ascii="Comic Sans MS" w:hAnsi="Comic Sans MS"/>
          <w:sz w:val="20"/>
          <w:szCs w:val="20"/>
        </w:rPr>
        <w:sym w:font="Wingdings" w:char="00E8"/>
      </w:r>
      <w:r>
        <w:rPr>
          <w:rFonts w:ascii="Comic Sans MS" w:hAnsi="Comic Sans MS"/>
          <w:sz w:val="20"/>
          <w:szCs w:val="20"/>
        </w:rPr>
        <w:t>ES</w:t>
      </w:r>
      <w:r>
        <w:rPr>
          <w:rFonts w:ascii="Comic Sans MS" w:hAnsi="Comic Sans MS"/>
          <w:sz w:val="20"/>
          <w:szCs w:val="20"/>
        </w:rPr>
        <w:sym w:font="Wingdings" w:char="00E8"/>
      </w:r>
      <w:r>
        <w:rPr>
          <w:rFonts w:ascii="Comic Sans MS" w:hAnsi="Comic Sans MS"/>
          <w:sz w:val="20"/>
          <w:szCs w:val="20"/>
        </w:rPr>
        <w:t>E+P</w:t>
      </w:r>
    </w:p>
    <w:p w:rsidR="00C92628" w:rsidRDefault="00C92628" w:rsidP="00C92628">
      <w:pPr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Maîtriser l’interprétation moléculaire de la catalyse enzymatique (texte+ schémas)</w:t>
      </w:r>
    </w:p>
    <w:p w:rsidR="00C92628" w:rsidRDefault="00C92628" w:rsidP="00C92628">
      <w:pPr>
        <w:rPr>
          <w:rFonts w:ascii="Comic Sans MS" w:hAnsi="Comic Sans MS"/>
          <w:sz w:val="20"/>
          <w:szCs w:val="20"/>
        </w:rPr>
      </w:pPr>
    </w:p>
    <w:p w:rsidR="00C92628" w:rsidRDefault="00C92628" w:rsidP="00C92628">
      <w:pPr>
        <w:rPr>
          <w:rFonts w:ascii="Comic Sans MS" w:hAnsi="Comic Sans MS"/>
          <w:sz w:val="20"/>
          <w:szCs w:val="20"/>
        </w:rPr>
      </w:pPr>
    </w:p>
    <w:p w:rsidR="00C92628" w:rsidRDefault="00C92628" w:rsidP="00C92628">
      <w:pPr>
        <w:rPr>
          <w:rFonts w:ascii="Comic Sans MS" w:hAnsi="Comic Sans MS"/>
          <w:sz w:val="20"/>
          <w:szCs w:val="20"/>
        </w:rPr>
      </w:pPr>
    </w:p>
    <w:p w:rsidR="00C92628" w:rsidRDefault="00C92628" w:rsidP="009C40EC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</w:p>
    <w:p w:rsidR="009C40EC" w:rsidRDefault="009C40EC" w:rsidP="009C40EC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C92628">
        <w:rPr>
          <w:rFonts w:ascii="Comic Sans MS" w:hAnsi="Comic Sans MS"/>
          <w:b/>
          <w:bCs/>
          <w:sz w:val="20"/>
          <w:szCs w:val="20"/>
        </w:rPr>
        <w:t>5</w:t>
      </w:r>
      <w:r>
        <w:rPr>
          <w:rFonts w:ascii="Comic Sans MS" w:hAnsi="Comic Sans MS"/>
          <w:b/>
          <w:bCs/>
          <w:sz w:val="20"/>
          <w:szCs w:val="20"/>
        </w:rPr>
        <w:t xml:space="preserve">- </w:t>
      </w:r>
      <w:r w:rsidR="00012662">
        <w:rPr>
          <w:rFonts w:ascii="Comic Sans MS" w:hAnsi="Comic Sans MS"/>
          <w:b/>
          <w:bCs/>
          <w:sz w:val="20"/>
          <w:szCs w:val="20"/>
        </w:rPr>
        <w:t>Régulation de la glycémie</w:t>
      </w:r>
    </w:p>
    <w:p w:rsidR="009C40EC" w:rsidRDefault="009C40EC" w:rsidP="009C40EC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</w:p>
    <w:p w:rsidR="009C40EC" w:rsidRPr="00060A00" w:rsidRDefault="009C40EC" w:rsidP="009C40EC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pPr w:leftFromText="141" w:rightFromText="141" w:vertAnchor="text" w:horzAnchor="margin" w:tblpXSpec="center" w:tblpY="230"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1843"/>
        <w:gridCol w:w="5029"/>
      </w:tblGrid>
      <w:tr w:rsidR="009C40EC" w:rsidTr="00E838DE">
        <w:trPr>
          <w:trHeight w:val="1126"/>
        </w:trPr>
        <w:tc>
          <w:tcPr>
            <w:tcW w:w="3472" w:type="dxa"/>
          </w:tcPr>
          <w:p w:rsidR="009C40EC" w:rsidRDefault="00012662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Glycémie ; constance glycémique ; homéostat glycémique ;</w:t>
            </w:r>
          </w:p>
          <w:p w:rsidR="00012662" w:rsidRDefault="00012662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Hypo et hyperglycémie ; diabète</w:t>
            </w:r>
          </w:p>
          <w:p w:rsidR="00012662" w:rsidRDefault="00012662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Organes effecteurs ; cellules hépatiques</w:t>
            </w:r>
          </w:p>
        </w:tc>
        <w:tc>
          <w:tcPr>
            <w:tcW w:w="1843" w:type="dxa"/>
          </w:tcPr>
          <w:p w:rsidR="009C40EC" w:rsidRDefault="00012662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Glycogène ;</w:t>
            </w:r>
            <w:r w:rsidR="00E15C7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glycogénogénèse ; glycogénolyse ; </w:t>
            </w:r>
            <w:r w:rsidR="00774ADC">
              <w:rPr>
                <w:rFonts w:ascii="Comic Sans MS" w:hAnsi="Comic Sans MS"/>
                <w:sz w:val="20"/>
                <w:szCs w:val="20"/>
              </w:rPr>
              <w:t>néoglucogenèse</w:t>
            </w:r>
            <w:r>
              <w:rPr>
                <w:rFonts w:ascii="Comic Sans MS" w:hAnsi="Comic Sans MS"/>
                <w:sz w:val="20"/>
                <w:szCs w:val="20"/>
              </w:rPr>
              <w:t xml:space="preserve"> ; </w:t>
            </w:r>
          </w:p>
        </w:tc>
        <w:tc>
          <w:tcPr>
            <w:tcW w:w="5029" w:type="dxa"/>
          </w:tcPr>
          <w:p w:rsidR="009C40EC" w:rsidRDefault="00012662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Pancréas endocrine et exocrine ; Hormone ; insuline ; glucagon ; ce</w:t>
            </w:r>
            <w:r w:rsidR="00774ADC">
              <w:rPr>
                <w:rFonts w:ascii="Comic Sans MS" w:hAnsi="Comic Sans MS"/>
                <w:sz w:val="20"/>
                <w:szCs w:val="20"/>
              </w:rPr>
              <w:t>l</w:t>
            </w:r>
            <w:r>
              <w:rPr>
                <w:rFonts w:ascii="Comic Sans MS" w:hAnsi="Comic Sans MS"/>
                <w:sz w:val="20"/>
                <w:szCs w:val="20"/>
              </w:rPr>
              <w:t xml:space="preserve">lules β et α ; </w:t>
            </w:r>
            <w:r w:rsidR="00774ADC">
              <w:rPr>
                <w:rFonts w:ascii="Comic Sans MS" w:hAnsi="Comic Sans MS"/>
                <w:sz w:val="20"/>
                <w:szCs w:val="20"/>
              </w:rPr>
              <w:t>îlots</w:t>
            </w:r>
            <w:r>
              <w:rPr>
                <w:rFonts w:ascii="Comic Sans MS" w:hAnsi="Comic Sans MS"/>
                <w:sz w:val="20"/>
                <w:szCs w:val="20"/>
              </w:rPr>
              <w:t xml:space="preserve"> de Langerhans ; cellules cibles ;</w:t>
            </w:r>
            <w:r w:rsidR="00E838DE">
              <w:rPr>
                <w:rFonts w:ascii="Comic Sans MS" w:hAnsi="Comic Sans MS"/>
                <w:sz w:val="20"/>
                <w:szCs w:val="20"/>
              </w:rPr>
              <w:t xml:space="preserve"> récepteurs membranaires ;</w:t>
            </w:r>
            <w:r w:rsidR="00E15C78">
              <w:rPr>
                <w:rFonts w:ascii="Comic Sans MS" w:hAnsi="Comic Sans MS"/>
                <w:sz w:val="20"/>
                <w:szCs w:val="20"/>
              </w:rPr>
              <w:t xml:space="preserve"> cellules adipeuses</w:t>
            </w:r>
            <w:r w:rsidR="00E838DE">
              <w:rPr>
                <w:rFonts w:ascii="Comic Sans MS" w:hAnsi="Comic Sans MS"/>
                <w:sz w:val="20"/>
                <w:szCs w:val="20"/>
              </w:rPr>
              <w:t> ;</w:t>
            </w:r>
          </w:p>
          <w:p w:rsidR="00012662" w:rsidRDefault="00012662" w:rsidP="0001266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Capteurs ; message hormonal</w:t>
            </w:r>
            <w:r w:rsidR="00E15C78">
              <w:rPr>
                <w:rFonts w:ascii="Comic Sans MS" w:hAnsi="Comic Sans MS"/>
                <w:sz w:val="20"/>
                <w:szCs w:val="20"/>
              </w:rPr>
              <w:t xml:space="preserve"> ; </w:t>
            </w:r>
            <w:r>
              <w:rPr>
                <w:rFonts w:ascii="Comic Sans MS" w:hAnsi="Comic Sans MS"/>
                <w:sz w:val="20"/>
                <w:szCs w:val="20"/>
              </w:rPr>
              <w:t>système réglé-système réglant ; boucle de régulation</w:t>
            </w:r>
            <w:r w:rsidR="00E15C78">
              <w:rPr>
                <w:rFonts w:ascii="Comic Sans MS" w:hAnsi="Comic Sans MS"/>
                <w:sz w:val="20"/>
                <w:szCs w:val="20"/>
              </w:rPr>
              <w:t> ;</w:t>
            </w:r>
            <w:r>
              <w:rPr>
                <w:rFonts w:ascii="Comic Sans MS" w:hAnsi="Comic Sans MS"/>
                <w:sz w:val="20"/>
                <w:szCs w:val="20"/>
              </w:rPr>
              <w:t xml:space="preserve"> rétroaction ;</w:t>
            </w:r>
          </w:p>
        </w:tc>
      </w:tr>
    </w:tbl>
    <w:p w:rsidR="009C40EC" w:rsidRDefault="009C40EC" w:rsidP="009C40EC"/>
    <w:p w:rsidR="009C40EC" w:rsidRDefault="009C40EC" w:rsidP="009C40EC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  <w:r>
        <w:rPr>
          <w:rFonts w:ascii="Comic Sans MS" w:hAnsi="Comic Sans MS" w:cs="Arial"/>
          <w:b/>
          <w:bCs/>
          <w:sz w:val="20"/>
          <w:szCs w:val="20"/>
        </w:rPr>
        <w:t>Savoir et savoir-faire à connaître ou maîtriser</w:t>
      </w:r>
    </w:p>
    <w:p w:rsidR="009C40EC" w:rsidRPr="00E15C78" w:rsidRDefault="00E15C78" w:rsidP="009C40EC">
      <w:pPr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E15C78">
        <w:rPr>
          <w:rFonts w:ascii="Comic Sans MS" w:hAnsi="Comic Sans MS"/>
          <w:i/>
          <w:sz w:val="20"/>
          <w:szCs w:val="20"/>
        </w:rPr>
        <w:t>Comprendre ce qu’est l’homéostat glycémique</w:t>
      </w:r>
    </w:p>
    <w:p w:rsidR="009C40EC" w:rsidRDefault="00E15C78" w:rsidP="009C40E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Définir les différents phénotypes relatifs à la</w:t>
      </w:r>
      <w:r w:rsidRPr="00E15C78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glycémie</w:t>
      </w:r>
    </w:p>
    <w:p w:rsidR="009C40EC" w:rsidRPr="00E15C78" w:rsidRDefault="00E15C78" w:rsidP="009C40EC">
      <w:pPr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E15C78">
        <w:rPr>
          <w:rFonts w:ascii="Comic Sans MS" w:hAnsi="Comic Sans MS"/>
          <w:i/>
          <w:sz w:val="20"/>
          <w:szCs w:val="20"/>
        </w:rPr>
        <w:t>TP: Mettre en évidence la fonction glycémique du foie (exp du foie lavé)</w:t>
      </w:r>
    </w:p>
    <w:p w:rsidR="00AC01EA" w:rsidRPr="00E15C78" w:rsidRDefault="00E15C78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Différencier la fonction des cellules hépatiques de la fonction des autres cellules (adipeuses et musculaires) dans le stockage du glucose.</w:t>
      </w:r>
      <w:r w:rsidR="009C40EC">
        <w:rPr>
          <w:rFonts w:ascii="Comic Sans MS" w:hAnsi="Comic Sans MS"/>
          <w:sz w:val="20"/>
          <w:szCs w:val="20"/>
        </w:rPr>
        <w:t xml:space="preserve"> </w:t>
      </w:r>
    </w:p>
    <w:p w:rsidR="00E15C78" w:rsidRPr="00E15C78" w:rsidRDefault="00E15C78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Comprendre des expériences relatant le rôle du pancréas</w:t>
      </w:r>
    </w:p>
    <w:p w:rsidR="00E15C78" w:rsidRPr="00C92628" w:rsidRDefault="00E15C78" w:rsidP="00E15C78">
      <w:pPr>
        <w:numPr>
          <w:ilvl w:val="0"/>
          <w:numId w:val="1"/>
        </w:numPr>
        <w:rPr>
          <w:i/>
        </w:rPr>
      </w:pPr>
      <w:r w:rsidRPr="00C92628">
        <w:rPr>
          <w:rFonts w:ascii="Comic Sans MS" w:hAnsi="Comic Sans MS"/>
          <w:i/>
          <w:sz w:val="20"/>
          <w:szCs w:val="20"/>
        </w:rPr>
        <w:lastRenderedPageBreak/>
        <w:t>TP : Etre capable de distinguer les 2 types de tissu du pancréas.</w:t>
      </w:r>
    </w:p>
    <w:p w:rsidR="00E15C78" w:rsidRPr="00E15C78" w:rsidRDefault="00E15C78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Connaître le rôle et le mode d’action de l’insuline</w:t>
      </w:r>
      <w:r w:rsidR="00006A04">
        <w:rPr>
          <w:rFonts w:ascii="Comic Sans MS" w:hAnsi="Comic Sans MS"/>
          <w:sz w:val="20"/>
          <w:szCs w:val="20"/>
        </w:rPr>
        <w:t xml:space="preserve"> (schématisation à maîtriser)</w:t>
      </w:r>
    </w:p>
    <w:p w:rsidR="00E15C78" w:rsidRPr="00E15C78" w:rsidRDefault="00E15C78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Connaître le rôle et le mode d’action du glucagon</w:t>
      </w:r>
      <w:r w:rsidR="00006A04">
        <w:rPr>
          <w:rFonts w:ascii="Comic Sans MS" w:hAnsi="Comic Sans MS"/>
          <w:sz w:val="20"/>
          <w:szCs w:val="20"/>
        </w:rPr>
        <w:t xml:space="preserve"> (schématisation à maîtriser)</w:t>
      </w:r>
    </w:p>
    <w:p w:rsidR="00E15C78" w:rsidRPr="00006A04" w:rsidRDefault="00E15C78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Comprendre la notion de boucle de régulation et être capable d’exploiter des documents mettant en évidence cette boucle</w:t>
      </w:r>
    </w:p>
    <w:p w:rsidR="00006A04" w:rsidRPr="00E838DE" w:rsidRDefault="00006A04" w:rsidP="00E15C78">
      <w:pPr>
        <w:numPr>
          <w:ilvl w:val="0"/>
          <w:numId w:val="1"/>
        </w:numPr>
      </w:pPr>
      <w:r>
        <w:rPr>
          <w:rFonts w:ascii="Comic Sans MS" w:hAnsi="Comic Sans MS"/>
          <w:sz w:val="20"/>
          <w:szCs w:val="20"/>
        </w:rPr>
        <w:t>Etre capable de synthétiser</w:t>
      </w:r>
      <w:r w:rsidR="00E838DE">
        <w:rPr>
          <w:rFonts w:ascii="Comic Sans MS" w:hAnsi="Comic Sans MS"/>
          <w:sz w:val="20"/>
          <w:szCs w:val="20"/>
        </w:rPr>
        <w:t xml:space="preserve"> schématiquement  la régulation de la glycémie.</w:t>
      </w:r>
    </w:p>
    <w:p w:rsidR="00E838DE" w:rsidRDefault="00E838DE" w:rsidP="00E838DE">
      <w:pPr>
        <w:ind w:left="720"/>
        <w:rPr>
          <w:rFonts w:ascii="Comic Sans MS" w:hAnsi="Comic Sans MS"/>
          <w:sz w:val="20"/>
          <w:szCs w:val="20"/>
        </w:rPr>
      </w:pPr>
    </w:p>
    <w:p w:rsidR="00E838DE" w:rsidRDefault="00E838DE" w:rsidP="00E838DE">
      <w:pPr>
        <w:ind w:left="720"/>
        <w:rPr>
          <w:rFonts w:ascii="Comic Sans MS" w:hAnsi="Comic Sans MS"/>
          <w:sz w:val="20"/>
          <w:szCs w:val="20"/>
        </w:rPr>
      </w:pPr>
    </w:p>
    <w:p w:rsidR="00E838DE" w:rsidRDefault="00E838DE" w:rsidP="00E838DE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C92628">
        <w:rPr>
          <w:rFonts w:ascii="Comic Sans MS" w:hAnsi="Comic Sans MS"/>
          <w:b/>
          <w:bCs/>
          <w:sz w:val="20"/>
          <w:szCs w:val="20"/>
        </w:rPr>
        <w:t>6</w:t>
      </w:r>
      <w:r>
        <w:rPr>
          <w:rFonts w:ascii="Comic Sans MS" w:hAnsi="Comic Sans MS"/>
          <w:b/>
          <w:bCs/>
          <w:sz w:val="20"/>
          <w:szCs w:val="20"/>
        </w:rPr>
        <w:t xml:space="preserve">- Les </w:t>
      </w:r>
      <w:r w:rsidR="00C92628">
        <w:rPr>
          <w:rFonts w:ascii="Comic Sans MS" w:hAnsi="Comic Sans MS"/>
          <w:b/>
          <w:bCs/>
          <w:sz w:val="20"/>
          <w:szCs w:val="20"/>
        </w:rPr>
        <w:t>diabètes de types I et II</w:t>
      </w:r>
    </w:p>
    <w:p w:rsidR="00E838DE" w:rsidRDefault="00E838DE" w:rsidP="00E838DE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</w:p>
    <w:p w:rsidR="00E838DE" w:rsidRPr="00060A00" w:rsidRDefault="00E838DE" w:rsidP="00E838DE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tbl>
      <w:tblPr>
        <w:tblpPr w:leftFromText="141" w:rightFromText="141" w:vertAnchor="text" w:horzAnchor="margin" w:tblpXSpec="center" w:tblpY="230"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2126"/>
        <w:gridCol w:w="5738"/>
      </w:tblGrid>
      <w:tr w:rsidR="00E838DE" w:rsidTr="00E838DE">
        <w:trPr>
          <w:trHeight w:val="1126"/>
        </w:trPr>
        <w:tc>
          <w:tcPr>
            <w:tcW w:w="2480" w:type="dxa"/>
          </w:tcPr>
          <w:p w:rsidR="00E838DE" w:rsidRDefault="00E838DE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Diabète de type I et II.</w:t>
            </w:r>
          </w:p>
          <w:p w:rsidR="00E838DE" w:rsidRDefault="00E838DE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DID et DNID</w:t>
            </w:r>
          </w:p>
        </w:tc>
        <w:tc>
          <w:tcPr>
            <w:tcW w:w="2126" w:type="dxa"/>
          </w:tcPr>
          <w:p w:rsidR="00E838DE" w:rsidRDefault="00E838DE" w:rsidP="00AC01E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Insulino-sécrétion </w:t>
            </w:r>
          </w:p>
        </w:tc>
        <w:tc>
          <w:tcPr>
            <w:tcW w:w="5738" w:type="dxa"/>
          </w:tcPr>
          <w:p w:rsidR="00E838DE" w:rsidRDefault="00E838DE" w:rsidP="00D433BF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Prédisposition génétique </w:t>
            </w:r>
            <w:r w:rsidR="00774ADC">
              <w:rPr>
                <w:rFonts w:ascii="Comic Sans MS" w:hAnsi="Comic Sans MS"/>
                <w:sz w:val="20"/>
                <w:szCs w:val="20"/>
              </w:rPr>
              <w:t>; maladie</w:t>
            </w:r>
            <w:r w:rsidR="00D433BF">
              <w:rPr>
                <w:rFonts w:ascii="Comic Sans MS" w:hAnsi="Comic Sans MS"/>
                <w:sz w:val="20"/>
                <w:szCs w:val="20"/>
              </w:rPr>
              <w:t xml:space="preserve"> auto-immune ; 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433BF">
              <w:rPr>
                <w:rFonts w:ascii="Comic Sans MS" w:hAnsi="Comic Sans MS"/>
                <w:sz w:val="20"/>
                <w:szCs w:val="20"/>
              </w:rPr>
              <w:t>obésité ; m</w:t>
            </w:r>
            <w:r>
              <w:rPr>
                <w:rFonts w:ascii="Comic Sans MS" w:hAnsi="Comic Sans MS"/>
                <w:sz w:val="20"/>
                <w:szCs w:val="20"/>
              </w:rPr>
              <w:t>aladie multifactorielle ; médecine prédictive</w:t>
            </w:r>
          </w:p>
        </w:tc>
      </w:tr>
    </w:tbl>
    <w:p w:rsidR="00E838DE" w:rsidRDefault="00E838DE" w:rsidP="00E838DE"/>
    <w:p w:rsidR="00E838DE" w:rsidRDefault="00E838DE" w:rsidP="00E838DE">
      <w:pPr>
        <w:pStyle w:val="Pieddepage"/>
        <w:tabs>
          <w:tab w:val="clear" w:pos="4536"/>
          <w:tab w:val="clear" w:pos="9072"/>
        </w:tabs>
        <w:spacing w:line="360" w:lineRule="auto"/>
        <w:jc w:val="both"/>
        <w:rPr>
          <w:rFonts w:ascii="Comic Sans MS" w:hAnsi="Comic Sans MS" w:cs="Arial"/>
          <w:b/>
          <w:bCs/>
          <w:sz w:val="20"/>
          <w:szCs w:val="20"/>
        </w:rPr>
      </w:pPr>
      <w:r>
        <w:rPr>
          <w:rFonts w:ascii="Comic Sans MS" w:hAnsi="Comic Sans MS" w:cs="Arial"/>
          <w:b/>
          <w:bCs/>
          <w:sz w:val="20"/>
          <w:szCs w:val="20"/>
        </w:rPr>
        <w:t>Savoir et savoir-faire à connaître ou maîtriser</w:t>
      </w:r>
    </w:p>
    <w:p w:rsidR="00E838DE" w:rsidRPr="00E838DE" w:rsidRDefault="00E838DE" w:rsidP="00E838D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les enjeux actuels du diabète dans notre société</w:t>
      </w:r>
    </w:p>
    <w:p w:rsidR="00E838DE" w:rsidRPr="00E838DE" w:rsidRDefault="00E838DE" w:rsidP="00E838D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E838DE">
        <w:rPr>
          <w:rFonts w:ascii="Comic Sans MS" w:hAnsi="Comic Sans MS"/>
          <w:sz w:val="20"/>
          <w:szCs w:val="20"/>
        </w:rPr>
        <w:t>Connaître les principaux symptômes des 2 types de diabètes</w:t>
      </w:r>
    </w:p>
    <w:p w:rsidR="00E838DE" w:rsidRDefault="00E838DE" w:rsidP="00E838D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E838DE">
        <w:rPr>
          <w:rFonts w:ascii="Comic Sans MS" w:hAnsi="Comic Sans MS"/>
          <w:sz w:val="20"/>
          <w:szCs w:val="20"/>
        </w:rPr>
        <w:t>Connaître les causes physiologiques des 2 types de diabète</w:t>
      </w:r>
    </w:p>
    <w:p w:rsidR="00E838DE" w:rsidRDefault="00E838DE" w:rsidP="00E838D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Interpréter des documents mettant en évidence les différents facteurs de risques des 2 types de diabète.</w:t>
      </w:r>
    </w:p>
    <w:p w:rsidR="00E838DE" w:rsidRDefault="00E838DE" w:rsidP="00E838D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la nécessité de la prévention (hygiène de vie ;</w:t>
      </w:r>
      <w:r w:rsidR="00D433BF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limites de la </w:t>
      </w:r>
      <w:r w:rsidRPr="00E838DE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médecine prédictive)</w:t>
      </w:r>
    </w:p>
    <w:p w:rsidR="00E838DE" w:rsidRDefault="00E838DE" w:rsidP="00E838DE">
      <w:pPr>
        <w:ind w:left="720"/>
      </w:pPr>
    </w:p>
    <w:sectPr w:rsidR="00E838DE" w:rsidSect="00284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6262D"/>
    <w:multiLevelType w:val="hybridMultilevel"/>
    <w:tmpl w:val="775454FA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126354F"/>
    <w:multiLevelType w:val="hybridMultilevel"/>
    <w:tmpl w:val="A1140C90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0EC"/>
    <w:rsid w:val="00006A04"/>
    <w:rsid w:val="00012662"/>
    <w:rsid w:val="00061605"/>
    <w:rsid w:val="00284D71"/>
    <w:rsid w:val="002D3670"/>
    <w:rsid w:val="004A28C5"/>
    <w:rsid w:val="005179FD"/>
    <w:rsid w:val="005331D2"/>
    <w:rsid w:val="00627742"/>
    <w:rsid w:val="00725808"/>
    <w:rsid w:val="00774ADC"/>
    <w:rsid w:val="007E4A7A"/>
    <w:rsid w:val="009C40EC"/>
    <w:rsid w:val="00A52FE5"/>
    <w:rsid w:val="00AC01EA"/>
    <w:rsid w:val="00C92628"/>
    <w:rsid w:val="00D433BF"/>
    <w:rsid w:val="00D514B3"/>
    <w:rsid w:val="00DC30B1"/>
    <w:rsid w:val="00E15C78"/>
    <w:rsid w:val="00E838DE"/>
    <w:rsid w:val="00EB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0EC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9262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link w:val="Titre3Car"/>
    <w:qFormat/>
    <w:rsid w:val="009C40EC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262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9C40EC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9C40EC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9C40E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C9262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C92628"/>
    <w:rPr>
      <w:rFonts w:asciiTheme="minorHAnsi" w:eastAsiaTheme="minorEastAsia" w:hAnsiTheme="minorHAnsi" w:cstheme="min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0EC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9262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link w:val="Titre3Car"/>
    <w:qFormat/>
    <w:rsid w:val="009C40EC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262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9C40EC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9C40EC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9C40E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C9262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C92628"/>
    <w:rPr>
      <w:rFonts w:asciiTheme="minorHAnsi" w:eastAsiaTheme="minorEastAsia" w:hAnsiTheme="minorHAnsi" w:cstheme="min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DEE7BA1-7132-4B3D-9677-6FEC6A9CE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 Grolleau</dc:creator>
  <cp:lastModifiedBy>h</cp:lastModifiedBy>
  <cp:revision>2</cp:revision>
  <dcterms:created xsi:type="dcterms:W3CDTF">2018-05-07T15:37:00Z</dcterms:created>
  <dcterms:modified xsi:type="dcterms:W3CDTF">2018-05-07T15:37:00Z</dcterms:modified>
</cp:coreProperties>
</file>